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985BD" w14:textId="600B828A" w:rsidR="001D3147" w:rsidRDefault="00852E33" w:rsidP="000A6DB7">
      <w:pPr>
        <w:pStyle w:val="PageTitle"/>
      </w:pPr>
      <w:r>
        <w:t xml:space="preserve"> </w:t>
      </w:r>
    </w:p>
    <w:p w14:paraId="0FA0852B" w14:textId="77777777" w:rsidR="001D3147" w:rsidRDefault="001D3147" w:rsidP="000A6DB7">
      <w:pPr>
        <w:pStyle w:val="PageTitle"/>
      </w:pPr>
    </w:p>
    <w:p w14:paraId="48C84542" w14:textId="77777777" w:rsidR="001D3147" w:rsidRDefault="001D3147" w:rsidP="000A6DB7">
      <w:pPr>
        <w:pStyle w:val="PageTitle"/>
      </w:pPr>
    </w:p>
    <w:p w14:paraId="607330A0" w14:textId="1C216910" w:rsidR="001D3147" w:rsidRDefault="00F9310D" w:rsidP="001D3147">
      <w:pPr>
        <w:pStyle w:val="CoverTitle"/>
      </w:pPr>
      <w:r>
        <w:t>Direct Payments Q&amp;A</w:t>
      </w:r>
    </w:p>
    <w:p w14:paraId="7BE8427E" w14:textId="4D9E5227" w:rsidR="001D3147" w:rsidRDefault="001D3147" w:rsidP="001D3147">
      <w:pPr>
        <w:pStyle w:val="CoverSubheading"/>
        <w:rPr>
          <w:color w:val="477FBF" w:themeColor="background2"/>
          <w:sz w:val="48"/>
          <w:szCs w:val="40"/>
        </w:rPr>
      </w:pPr>
      <w:r>
        <w:t>December 2020</w:t>
      </w:r>
      <w:r>
        <w:br w:type="page"/>
      </w:r>
    </w:p>
    <w:p w14:paraId="1074CAFD" w14:textId="4FE7BE40" w:rsidR="001D3147" w:rsidRPr="00407ADB" w:rsidRDefault="001D3147" w:rsidP="00407ADB">
      <w:pPr>
        <w:pStyle w:val="SectionTitle"/>
        <w:rPr>
          <w:rFonts w:ascii="Segoe UI" w:hAnsi="Segoe UI" w:cs="Segoe UI"/>
          <w:sz w:val="18"/>
          <w:szCs w:val="18"/>
        </w:rPr>
      </w:pPr>
      <w:r>
        <w:rPr>
          <w:rStyle w:val="normaltextrun"/>
          <w:color w:val="477FBF"/>
          <w:sz w:val="44"/>
          <w:szCs w:val="44"/>
        </w:rPr>
        <w:lastRenderedPageBreak/>
        <w:t>Introduction</w:t>
      </w:r>
      <w:r>
        <w:rPr>
          <w:rStyle w:val="eop"/>
          <w:color w:val="477FBF"/>
          <w:sz w:val="44"/>
          <w:szCs w:val="44"/>
        </w:rPr>
        <w:t> </w:t>
      </w:r>
    </w:p>
    <w:p w14:paraId="6B9BF5DE" w14:textId="78990BD8" w:rsidR="001D3147" w:rsidRDefault="001D3147" w:rsidP="001D3147">
      <w:pPr>
        <w:pStyle w:val="BodyCopy"/>
      </w:pPr>
      <w:r>
        <w:rPr>
          <w:rStyle w:val="normaltextrun"/>
        </w:rPr>
        <w:t>On the 3</w:t>
      </w:r>
      <w:r w:rsidRPr="001D3147">
        <w:rPr>
          <w:rStyle w:val="normaltextrun"/>
          <w:vertAlign w:val="superscript"/>
        </w:rPr>
        <w:t>rd</w:t>
      </w:r>
      <w:r>
        <w:rPr>
          <w:rStyle w:val="normaltextrun"/>
        </w:rPr>
        <w:t xml:space="preserve"> December 2020, in partnership with the Department of Health and Social Care</w:t>
      </w:r>
      <w:r w:rsidR="00407ADB">
        <w:rPr>
          <w:rStyle w:val="normaltextrun"/>
        </w:rPr>
        <w:t xml:space="preserve"> (DHSC) NHS England &amp; Improvement </w:t>
      </w:r>
      <w:r w:rsidR="008B7914">
        <w:rPr>
          <w:rStyle w:val="normaltextrun"/>
        </w:rPr>
        <w:t xml:space="preserve">(NHSE&amp;I) </w:t>
      </w:r>
      <w:r w:rsidR="00407ADB">
        <w:rPr>
          <w:rStyle w:val="normaltextrun"/>
        </w:rPr>
        <w:t>and Community Health Partnerships (CHP)</w:t>
      </w:r>
      <w:r>
        <w:rPr>
          <w:rStyle w:val="normaltextrun"/>
        </w:rPr>
        <w:t xml:space="preserve">, we ran a customer webinar to </w:t>
      </w:r>
      <w:r w:rsidR="000C674A">
        <w:rPr>
          <w:rStyle w:val="normaltextrun"/>
        </w:rPr>
        <w:t xml:space="preserve">outline how </w:t>
      </w:r>
      <w:r w:rsidR="00407ADB">
        <w:rPr>
          <w:rStyle w:val="normaltextrun"/>
        </w:rPr>
        <w:t xml:space="preserve">Direct Payments </w:t>
      </w:r>
      <w:r w:rsidR="000C674A">
        <w:rPr>
          <w:rStyle w:val="normaltextrun"/>
        </w:rPr>
        <w:t>for reimbursable costs works, and some of the benefits it can offer</w:t>
      </w:r>
      <w:r>
        <w:rPr>
          <w:rStyle w:val="normaltextrun"/>
        </w:rPr>
        <w:t>.</w:t>
      </w:r>
      <w:r>
        <w:rPr>
          <w:rStyle w:val="eop"/>
        </w:rPr>
        <w:t> </w:t>
      </w:r>
    </w:p>
    <w:p w14:paraId="59343B0F" w14:textId="77777777" w:rsidR="001D3147" w:rsidRDefault="001D3147" w:rsidP="001D3147">
      <w:pPr>
        <w:pStyle w:val="BodyCopy"/>
      </w:pPr>
      <w:r>
        <w:rPr>
          <w:rStyle w:val="eop"/>
        </w:rPr>
        <w:t> </w:t>
      </w:r>
    </w:p>
    <w:p w14:paraId="43CAA091" w14:textId="53397BFB" w:rsidR="001D3147" w:rsidRDefault="001D3147" w:rsidP="001D3147">
      <w:pPr>
        <w:pStyle w:val="BodyCopy"/>
      </w:pPr>
      <w:r>
        <w:rPr>
          <w:rStyle w:val="normaltextrun"/>
        </w:rPr>
        <w:t xml:space="preserve">We were delighted to welcome so many customers, partners and colleagues to the session, and due to the level of engagement were unable to answer all the questions asked in our Q&amp;A. We want to equip our customers with as much information as possible as we move into this next phase of </w:t>
      </w:r>
      <w:r w:rsidR="00407ADB">
        <w:rPr>
          <w:rStyle w:val="normaltextrun"/>
        </w:rPr>
        <w:t>Direct Payments</w:t>
      </w:r>
      <w:r>
        <w:rPr>
          <w:rStyle w:val="normaltextrun"/>
        </w:rPr>
        <w:t>, and so have prepared responses to all questions asked throughout the session. </w:t>
      </w:r>
      <w:r>
        <w:rPr>
          <w:rStyle w:val="eop"/>
        </w:rPr>
        <w:t> </w:t>
      </w:r>
    </w:p>
    <w:p w14:paraId="4F7EA6A7" w14:textId="77777777" w:rsidR="001D3147" w:rsidRDefault="001D3147" w:rsidP="001D3147">
      <w:pPr>
        <w:pStyle w:val="BodyCopy"/>
      </w:pPr>
      <w:r>
        <w:rPr>
          <w:rStyle w:val="eop"/>
        </w:rPr>
        <w:t> </w:t>
      </w:r>
    </w:p>
    <w:p w14:paraId="48CC358D" w14:textId="77777777" w:rsidR="001D3147" w:rsidRDefault="001D3147" w:rsidP="001D314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D2F36BE" w14:textId="77777777" w:rsidR="001D3147" w:rsidRDefault="001D3147" w:rsidP="001D3147">
      <w:pPr>
        <w:pStyle w:val="SectionTitle"/>
        <w:rPr>
          <w:rFonts w:ascii="Segoe UI" w:hAnsi="Segoe UI" w:cs="Segoe UI"/>
          <w:sz w:val="18"/>
          <w:szCs w:val="18"/>
        </w:rPr>
      </w:pPr>
      <w:r>
        <w:rPr>
          <w:rStyle w:val="normaltextrun"/>
          <w:color w:val="477FBF"/>
          <w:szCs w:val="36"/>
        </w:rPr>
        <w:t>Resources </w:t>
      </w:r>
      <w:r>
        <w:rPr>
          <w:rStyle w:val="eop"/>
          <w:color w:val="477FBF"/>
          <w:szCs w:val="36"/>
        </w:rPr>
        <w:t> </w:t>
      </w:r>
    </w:p>
    <w:p w14:paraId="69AB2732" w14:textId="6799426A" w:rsidR="001D3147" w:rsidRDefault="001D3147" w:rsidP="001D31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You can also watch a recording of the webinar, view the slides used, and access other supporting materials such as our main FAQs and the Section 52 letter. This can all be found on our </w:t>
      </w:r>
      <w:hyperlink r:id="rId12" w:tgtFrame="_blank" w:history="1">
        <w:r w:rsidRPr="002C2322">
          <w:rPr>
            <w:rStyle w:val="Hyperlink"/>
            <w:rFonts w:ascii="Arial" w:hAnsi="Arial" w:cs="Arial"/>
            <w:sz w:val="22"/>
            <w:szCs w:val="22"/>
          </w:rPr>
          <w:t>webinar summary page here. </w:t>
        </w:r>
      </w:hyperlink>
    </w:p>
    <w:p w14:paraId="660BA9AA" w14:textId="77777777" w:rsidR="001D3147" w:rsidRDefault="001D3147" w:rsidP="001D314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78CC4D" w14:textId="3CC1092F" w:rsidR="001D3147" w:rsidRDefault="001D3147" w:rsidP="001D31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For any outstanding queries or concerns, or if you would like to discuss how to set up Direct Payments, please contact Harj Brar at NHS Property Services (</w:t>
      </w:r>
      <w:hyperlink r:id="rId13" w:history="1">
        <w:r w:rsidRPr="0092680C">
          <w:rPr>
            <w:rStyle w:val="Hyperlink"/>
            <w:rFonts w:ascii="Arial" w:hAnsi="Arial" w:cs="Arial"/>
            <w:sz w:val="22"/>
            <w:szCs w:val="22"/>
          </w:rPr>
          <w:t>harj.brar@property.nhs.uk</w:t>
        </w:r>
      </w:hyperlink>
      <w:r>
        <w:rPr>
          <w:rStyle w:val="normaltextrun"/>
          <w:rFonts w:ascii="Arial" w:hAnsi="Arial" w:cs="Arial"/>
          <w:sz w:val="22"/>
          <w:szCs w:val="22"/>
        </w:rPr>
        <w:t>) or Kevin Breen at Community Heath Partnerships (CHP) (</w:t>
      </w:r>
      <w:hyperlink r:id="rId14" w:history="1">
        <w:r w:rsidRPr="0092680C">
          <w:rPr>
            <w:rStyle w:val="Hyperlink"/>
            <w:rFonts w:ascii="Arial" w:hAnsi="Arial" w:cs="Arial"/>
            <w:sz w:val="22"/>
            <w:szCs w:val="22"/>
          </w:rPr>
          <w:t>k.breen@communityhealthpartnerships.co.uk</w:t>
        </w:r>
      </w:hyperlink>
      <w:r>
        <w:rPr>
          <w:rStyle w:val="normaltextrun"/>
          <w:rFonts w:ascii="Arial" w:hAnsi="Arial" w:cs="Arial"/>
          <w:sz w:val="22"/>
          <w:szCs w:val="22"/>
        </w:rPr>
        <w:t xml:space="preserve">).  </w:t>
      </w:r>
    </w:p>
    <w:p w14:paraId="749EE676" w14:textId="0CCA1B33" w:rsidR="00126BB8" w:rsidRDefault="00126BB8" w:rsidP="001D3147">
      <w:pPr>
        <w:pStyle w:val="SectionTitle"/>
      </w:pPr>
    </w:p>
    <w:p w14:paraId="40823DDB" w14:textId="66EF5476" w:rsidR="001D3147" w:rsidRPr="004B4CC6" w:rsidRDefault="001D3147" w:rsidP="001D3147">
      <w:pPr>
        <w:pStyle w:val="SectionTitle"/>
      </w:pPr>
      <w:r>
        <w:t>Q&amp;A</w:t>
      </w:r>
    </w:p>
    <w:p w14:paraId="125086FE" w14:textId="08397283" w:rsidR="00AE301A" w:rsidRPr="006221B6" w:rsidRDefault="00AE301A" w:rsidP="008B7914">
      <w:pPr>
        <w:pStyle w:val="NumberedBullets"/>
        <w:ind w:left="1080"/>
        <w:rPr>
          <w:b/>
          <w:bCs/>
        </w:rPr>
      </w:pPr>
      <w:r w:rsidRPr="006221B6">
        <w:rPr>
          <w:b/>
          <w:bCs/>
        </w:rPr>
        <w:t xml:space="preserve">Does the process of Direct Payments under S52 of the Premises Cost Directions 2013 (Current PCDs) create an implied lease between the CCG and </w:t>
      </w:r>
      <w:r w:rsidR="004E7684" w:rsidRPr="006221B6">
        <w:rPr>
          <w:b/>
          <w:bCs/>
        </w:rPr>
        <w:t>the p</w:t>
      </w:r>
      <w:r w:rsidRPr="006221B6">
        <w:rPr>
          <w:b/>
          <w:bCs/>
        </w:rPr>
        <w:t>rop</w:t>
      </w:r>
      <w:r w:rsidR="004E7684" w:rsidRPr="006221B6">
        <w:rPr>
          <w:b/>
          <w:bCs/>
        </w:rPr>
        <w:t>erty c</w:t>
      </w:r>
      <w:r w:rsidRPr="006221B6">
        <w:rPr>
          <w:b/>
          <w:bCs/>
        </w:rPr>
        <w:t>o</w:t>
      </w:r>
      <w:r w:rsidR="004E7684" w:rsidRPr="006221B6">
        <w:rPr>
          <w:b/>
          <w:bCs/>
        </w:rPr>
        <w:t>mpanies</w:t>
      </w:r>
      <w:r w:rsidRPr="006221B6">
        <w:rPr>
          <w:b/>
          <w:bCs/>
        </w:rPr>
        <w:t>?</w:t>
      </w:r>
    </w:p>
    <w:p w14:paraId="36576AB5" w14:textId="0B25110A" w:rsidR="00AE301A" w:rsidRPr="00F45E47" w:rsidRDefault="00AE301A" w:rsidP="008B7914">
      <w:pPr>
        <w:pStyle w:val="NumberedBullets"/>
        <w:numPr>
          <w:ilvl w:val="0"/>
          <w:numId w:val="0"/>
        </w:numPr>
        <w:ind w:left="1080"/>
      </w:pPr>
      <w:r w:rsidRPr="00F45E47">
        <w:t>No this is not the case. The liability does not fall on the CCG (</w:t>
      </w:r>
      <w:r w:rsidR="000C674A">
        <w:t xml:space="preserve">nor does it </w:t>
      </w:r>
      <w:r w:rsidRPr="00F45E47">
        <w:t xml:space="preserve">impact on </w:t>
      </w:r>
      <w:r w:rsidR="00011514">
        <w:t xml:space="preserve">the CCG’s </w:t>
      </w:r>
      <w:r w:rsidRPr="00F45E47">
        <w:t xml:space="preserve">Agreement of Balances etc) as the invoice is raised against the GP’s accounts in line with the </w:t>
      </w:r>
      <w:r w:rsidR="000C674A">
        <w:t>Premises Cost D</w:t>
      </w:r>
      <w:r w:rsidRPr="00F45E47">
        <w:t>irections’ guidance.</w:t>
      </w:r>
      <w:r w:rsidR="000C674A">
        <w:t xml:space="preserve"> </w:t>
      </w:r>
    </w:p>
    <w:p w14:paraId="47E85247" w14:textId="77777777" w:rsidR="000A539E" w:rsidRDefault="000A539E" w:rsidP="008B7914">
      <w:pPr>
        <w:pStyle w:val="NumberedBullets"/>
        <w:numPr>
          <w:ilvl w:val="0"/>
          <w:numId w:val="0"/>
        </w:numPr>
        <w:ind w:left="1080"/>
      </w:pPr>
    </w:p>
    <w:p w14:paraId="2FDCBAE7" w14:textId="4A76BAC7" w:rsidR="00AE301A" w:rsidRPr="006221B6" w:rsidRDefault="00AE301A" w:rsidP="008B7914">
      <w:pPr>
        <w:pStyle w:val="NumberedBullets"/>
        <w:ind w:left="1080"/>
        <w:rPr>
          <w:b/>
          <w:bCs/>
        </w:rPr>
      </w:pPr>
      <w:r w:rsidRPr="006221B6">
        <w:rPr>
          <w:b/>
          <w:bCs/>
        </w:rPr>
        <w:t xml:space="preserve">Will the changes to the new PCDs impact on the process? </w:t>
      </w:r>
    </w:p>
    <w:p w14:paraId="41FB014A" w14:textId="5C9D4405" w:rsidR="00AE301A" w:rsidRPr="00F45E47" w:rsidRDefault="008B7914" w:rsidP="008B7914">
      <w:pPr>
        <w:pStyle w:val="NumberedBullets"/>
        <w:numPr>
          <w:ilvl w:val="0"/>
          <w:numId w:val="0"/>
        </w:numPr>
        <w:ind w:left="1080"/>
      </w:pPr>
      <w:r>
        <w:t xml:space="preserve">We have been advised that </w:t>
      </w:r>
      <w:r w:rsidR="00AE301A" w:rsidRPr="00F45E47">
        <w:t>the anticipated changes to the PCDs will</w:t>
      </w:r>
      <w:r>
        <w:t xml:space="preserve"> not</w:t>
      </w:r>
      <w:r w:rsidR="00AE301A" w:rsidRPr="00F45E47">
        <w:t xml:space="preserve"> impact on the process</w:t>
      </w:r>
      <w:r w:rsidR="00AE301A">
        <w:t>.</w:t>
      </w:r>
      <w:r w:rsidR="00AE301A" w:rsidRPr="00F45E47">
        <w:t xml:space="preserve"> </w:t>
      </w:r>
    </w:p>
    <w:p w14:paraId="556D57C3" w14:textId="77777777" w:rsidR="00AE301A" w:rsidRPr="00F45E47" w:rsidRDefault="00AE301A" w:rsidP="008B7914">
      <w:pPr>
        <w:pStyle w:val="NumberedBullets"/>
        <w:numPr>
          <w:ilvl w:val="0"/>
          <w:numId w:val="0"/>
        </w:numPr>
        <w:ind w:left="1080"/>
      </w:pPr>
    </w:p>
    <w:p w14:paraId="5ECCB28C" w14:textId="36A95139" w:rsidR="00AE301A" w:rsidRPr="006221B6" w:rsidRDefault="00AE301A" w:rsidP="008B7914">
      <w:pPr>
        <w:pStyle w:val="NumberedBullets"/>
        <w:ind w:left="1080"/>
        <w:rPr>
          <w:b/>
          <w:bCs/>
        </w:rPr>
      </w:pPr>
      <w:r w:rsidRPr="006221B6">
        <w:rPr>
          <w:b/>
          <w:bCs/>
        </w:rPr>
        <w:t xml:space="preserve">Does a CCG need to send out the S52 letter every year? </w:t>
      </w:r>
      <w:r w:rsidR="00011514" w:rsidRPr="006221B6">
        <w:rPr>
          <w:b/>
          <w:bCs/>
        </w:rPr>
        <w:t xml:space="preserve"> </w:t>
      </w:r>
    </w:p>
    <w:p w14:paraId="6DEA9579" w14:textId="6EA36D84" w:rsidR="00AE301A" w:rsidRPr="00F45E47" w:rsidRDefault="00AE301A" w:rsidP="008B7914">
      <w:pPr>
        <w:pStyle w:val="NumberedBullets"/>
        <w:numPr>
          <w:ilvl w:val="0"/>
          <w:numId w:val="0"/>
        </w:numPr>
        <w:ind w:left="1080"/>
      </w:pPr>
      <w:r w:rsidRPr="00011514">
        <w:t xml:space="preserve">No, we would expect this to be sent </w:t>
      </w:r>
      <w:r w:rsidR="00011514" w:rsidRPr="00011514">
        <w:t xml:space="preserve">out </w:t>
      </w:r>
      <w:r w:rsidRPr="00011514">
        <w:t>once</w:t>
      </w:r>
      <w:r w:rsidR="000C674A" w:rsidRPr="00011514">
        <w:t xml:space="preserve"> at the start of the process</w:t>
      </w:r>
      <w:r w:rsidRPr="00011514">
        <w:t xml:space="preserve">, </w:t>
      </w:r>
      <w:proofErr w:type="gramStart"/>
      <w:r w:rsidRPr="00011514">
        <w:t>however</w:t>
      </w:r>
      <w:proofErr w:type="gramEnd"/>
      <w:r w:rsidRPr="00011514">
        <w:t xml:space="preserve"> should the lead partner resign, a new letter should be sent out and signed</w:t>
      </w:r>
      <w:r w:rsidR="00011514" w:rsidRPr="001509E4">
        <w:t xml:space="preserve"> to ensure the </w:t>
      </w:r>
      <w:r w:rsidR="00431E52">
        <w:t>p</w:t>
      </w:r>
      <w:r w:rsidR="00011514" w:rsidRPr="001509E4">
        <w:t xml:space="preserve">ractice’s </w:t>
      </w:r>
      <w:r w:rsidR="00011514" w:rsidRPr="00EC36F8">
        <w:t>records are up to date</w:t>
      </w:r>
      <w:r w:rsidRPr="00EC36F8">
        <w:t xml:space="preserve">. </w:t>
      </w:r>
      <w:r w:rsidR="00011514" w:rsidRPr="00EC36F8">
        <w:t>For s</w:t>
      </w:r>
      <w:r w:rsidR="000C674A" w:rsidRPr="00EC36F8">
        <w:t>ubsequent financial years, t</w:t>
      </w:r>
      <w:r w:rsidR="000C674A" w:rsidRPr="000A539E">
        <w:t>he property compan</w:t>
      </w:r>
      <w:r w:rsidR="00011514" w:rsidRPr="000A539E">
        <w:t>ie</w:t>
      </w:r>
      <w:r w:rsidR="00011514" w:rsidRPr="00EC36F8">
        <w:t>s</w:t>
      </w:r>
      <w:r w:rsidR="000C674A" w:rsidRPr="000A539E">
        <w:t xml:space="preserve"> </w:t>
      </w:r>
      <w:r w:rsidR="00011514" w:rsidRPr="000A539E">
        <w:t>would</w:t>
      </w:r>
      <w:r w:rsidR="00A11408" w:rsidRPr="000A539E">
        <w:t xml:space="preserve"> </w:t>
      </w:r>
      <w:r w:rsidRPr="00EC36F8">
        <w:t>send a</w:t>
      </w:r>
      <w:r w:rsidR="00EC36F8">
        <w:t xml:space="preserve"> </w:t>
      </w:r>
      <w:r w:rsidRPr="00EC36F8">
        <w:t xml:space="preserve">statement to the </w:t>
      </w:r>
      <w:r w:rsidR="00431E52">
        <w:t>p</w:t>
      </w:r>
      <w:r w:rsidRPr="00EC36F8">
        <w:t>ractice</w:t>
      </w:r>
      <w:r w:rsidR="000C674A" w:rsidRPr="000A539E">
        <w:t xml:space="preserve"> and the CCG</w:t>
      </w:r>
      <w:r w:rsidRPr="00EC36F8">
        <w:t xml:space="preserve"> setting out the costs</w:t>
      </w:r>
      <w:r w:rsidR="00011514" w:rsidRPr="000A539E">
        <w:t xml:space="preserve"> </w:t>
      </w:r>
      <w:r w:rsidR="00011514" w:rsidRPr="000A539E">
        <w:lastRenderedPageBreak/>
        <w:t>for that year</w:t>
      </w:r>
      <w:r w:rsidR="000C674A" w:rsidRPr="000A539E">
        <w:t xml:space="preserve">, and this would </w:t>
      </w:r>
      <w:r w:rsidRPr="00EC36F8">
        <w:t>provide the GP</w:t>
      </w:r>
      <w:r w:rsidR="000C674A" w:rsidRPr="000A539E">
        <w:t xml:space="preserve"> and the CCG </w:t>
      </w:r>
      <w:r w:rsidRPr="00EC36F8">
        <w:t xml:space="preserve">with </w:t>
      </w:r>
      <w:r w:rsidR="000C674A" w:rsidRPr="000A539E">
        <w:t xml:space="preserve">the </w:t>
      </w:r>
      <w:r w:rsidRPr="00EC36F8">
        <w:t>opportunity to engage and review the new financial years’ charges for example flagging any prospective changes</w:t>
      </w:r>
      <w:r w:rsidR="00431E52">
        <w:t xml:space="preserve"> of which they </w:t>
      </w:r>
      <w:proofErr w:type="gramStart"/>
      <w:r w:rsidR="00431E52">
        <w:t>may be</w:t>
      </w:r>
      <w:proofErr w:type="gramEnd"/>
      <w:r w:rsidRPr="00EC36F8">
        <w:t xml:space="preserve"> they may be aware.</w:t>
      </w:r>
    </w:p>
    <w:p w14:paraId="5B754362" w14:textId="77777777" w:rsidR="00AE301A" w:rsidRPr="00F45E47" w:rsidRDefault="00AE301A" w:rsidP="008B7914">
      <w:pPr>
        <w:pStyle w:val="NumberedBullets"/>
        <w:numPr>
          <w:ilvl w:val="0"/>
          <w:numId w:val="0"/>
        </w:numPr>
        <w:ind w:left="1080"/>
      </w:pPr>
    </w:p>
    <w:p w14:paraId="3CA6ED54" w14:textId="0EC5AA5A" w:rsidR="00AE301A" w:rsidRPr="00407ADB" w:rsidRDefault="00AE301A" w:rsidP="008B7914">
      <w:pPr>
        <w:pStyle w:val="NumberedBullets"/>
        <w:ind w:left="1080"/>
      </w:pPr>
      <w:r w:rsidRPr="006221B6">
        <w:rPr>
          <w:b/>
          <w:bCs/>
        </w:rPr>
        <w:t>Is the payment process going to be automated</w:t>
      </w:r>
      <w:r w:rsidRPr="00407ADB">
        <w:t xml:space="preserve">? </w:t>
      </w:r>
    </w:p>
    <w:p w14:paraId="6AEB8A7A" w14:textId="37169957" w:rsidR="00AE301A" w:rsidRDefault="00AE301A" w:rsidP="008B7914">
      <w:pPr>
        <w:pStyle w:val="NumberedBullets"/>
        <w:numPr>
          <w:ilvl w:val="0"/>
          <w:numId w:val="0"/>
        </w:numPr>
        <w:ind w:left="1080"/>
      </w:pPr>
      <w:r w:rsidRPr="00F45E47">
        <w:t xml:space="preserve">NHSE&amp;I has developed a </w:t>
      </w:r>
      <w:r w:rsidR="006D47BD">
        <w:t xml:space="preserve">new GP payments and pension </w:t>
      </w:r>
      <w:r w:rsidRPr="00F45E47">
        <w:t xml:space="preserve">system which </w:t>
      </w:r>
      <w:r w:rsidR="006D47BD">
        <w:t xml:space="preserve">includes a model that </w:t>
      </w:r>
      <w:r w:rsidRPr="00F45E47">
        <w:t xml:space="preserve">will automate the </w:t>
      </w:r>
      <w:r w:rsidR="006D47BD">
        <w:t xml:space="preserve">direct payments </w:t>
      </w:r>
      <w:r w:rsidRPr="00F45E47">
        <w:t xml:space="preserve">process </w:t>
      </w:r>
      <w:r w:rsidR="006D47BD">
        <w:t xml:space="preserve">for reimbursables </w:t>
      </w:r>
      <w:r w:rsidRPr="00F45E47">
        <w:t>and prevent</w:t>
      </w:r>
      <w:r w:rsidR="006D47BD">
        <w:t xml:space="preserve"> the need for</w:t>
      </w:r>
      <w:r w:rsidRPr="00F45E47">
        <w:t xml:space="preserve"> manual </w:t>
      </w:r>
      <w:r w:rsidR="006D47BD">
        <w:t xml:space="preserve">payment </w:t>
      </w:r>
      <w:r w:rsidRPr="00F45E47">
        <w:t>requisitions</w:t>
      </w:r>
      <w:r w:rsidR="00A11408">
        <w:t>.</w:t>
      </w:r>
      <w:r w:rsidRPr="00F45E47">
        <w:t xml:space="preserve"> </w:t>
      </w:r>
      <w:r w:rsidR="00A11408">
        <w:t>T</w:t>
      </w:r>
      <w:r w:rsidR="00A11408" w:rsidRPr="00F45E47">
        <w:t xml:space="preserve">his </w:t>
      </w:r>
      <w:r w:rsidRPr="00F45E47">
        <w:t>is expected to go live in 2021.</w:t>
      </w:r>
    </w:p>
    <w:p w14:paraId="692C57CA" w14:textId="77777777" w:rsidR="00AE301A" w:rsidRPr="00F45E47" w:rsidRDefault="00AE301A" w:rsidP="008B7914">
      <w:pPr>
        <w:pStyle w:val="NumberedBullets"/>
        <w:numPr>
          <w:ilvl w:val="0"/>
          <w:numId w:val="0"/>
        </w:numPr>
        <w:ind w:left="1080"/>
      </w:pPr>
    </w:p>
    <w:p w14:paraId="6530C8C2" w14:textId="104AF60C" w:rsidR="00AE301A" w:rsidRPr="006221B6" w:rsidRDefault="00AE301A" w:rsidP="008B7914">
      <w:pPr>
        <w:pStyle w:val="NumberedBullets"/>
        <w:ind w:left="1080"/>
        <w:rPr>
          <w:b/>
          <w:bCs/>
        </w:rPr>
      </w:pPr>
      <w:r w:rsidRPr="006221B6">
        <w:rPr>
          <w:b/>
          <w:bCs/>
        </w:rPr>
        <w:t xml:space="preserve">Does Direct Payments have any VAT implications? </w:t>
      </w:r>
    </w:p>
    <w:p w14:paraId="1B92954B" w14:textId="3F16A0EC" w:rsidR="00AE301A" w:rsidRPr="00F45E47" w:rsidRDefault="00AE301A" w:rsidP="008B7914">
      <w:pPr>
        <w:pStyle w:val="NumberedBullets"/>
        <w:numPr>
          <w:ilvl w:val="0"/>
          <w:numId w:val="0"/>
        </w:numPr>
        <w:ind w:left="1080"/>
      </w:pPr>
      <w:r w:rsidRPr="00F45E47">
        <w:t>No</w:t>
      </w:r>
      <w:r w:rsidR="00A11408">
        <w:t>.</w:t>
      </w:r>
      <w:r w:rsidRPr="00F45E47">
        <w:t xml:space="preserve"> </w:t>
      </w:r>
      <w:r w:rsidR="00A11408">
        <w:t>A</w:t>
      </w:r>
      <w:r w:rsidR="00A11408" w:rsidRPr="00F45E47">
        <w:t xml:space="preserve">ll </w:t>
      </w:r>
      <w:r w:rsidRPr="00F45E47">
        <w:t>VAT arrangements remain the same</w:t>
      </w:r>
      <w:r w:rsidR="006D47BD">
        <w:t>, the</w:t>
      </w:r>
      <w:r w:rsidRPr="00F45E47">
        <w:t xml:space="preserve"> liability remains with the GP.</w:t>
      </w:r>
      <w:r w:rsidR="004E7684">
        <w:t xml:space="preserve"> </w:t>
      </w:r>
    </w:p>
    <w:p w14:paraId="6176176A" w14:textId="77777777" w:rsidR="00AE301A" w:rsidRPr="00F45E47" w:rsidRDefault="00AE301A" w:rsidP="008B7914">
      <w:pPr>
        <w:pStyle w:val="NumberedBullets"/>
        <w:numPr>
          <w:ilvl w:val="0"/>
          <w:numId w:val="0"/>
        </w:numPr>
        <w:ind w:left="1080"/>
      </w:pPr>
    </w:p>
    <w:p w14:paraId="0A6D2E0E" w14:textId="661B9AB4" w:rsidR="00AE301A" w:rsidRPr="006221B6" w:rsidRDefault="00AE301A" w:rsidP="008B7914">
      <w:pPr>
        <w:pStyle w:val="NumberedBullets"/>
        <w:ind w:left="1080"/>
        <w:rPr>
          <w:b/>
          <w:bCs/>
        </w:rPr>
      </w:pPr>
      <w:r w:rsidRPr="006221B6">
        <w:rPr>
          <w:b/>
          <w:bCs/>
        </w:rPr>
        <w:t xml:space="preserve">What is the lead time? </w:t>
      </w:r>
      <w:r w:rsidR="00011514" w:rsidRPr="006221B6">
        <w:rPr>
          <w:b/>
          <w:bCs/>
        </w:rPr>
        <w:t xml:space="preserve"> </w:t>
      </w:r>
    </w:p>
    <w:p w14:paraId="198C7BD2" w14:textId="6228649C" w:rsidR="00AE301A" w:rsidRPr="00F45E47" w:rsidRDefault="00AE301A" w:rsidP="008B7914">
      <w:pPr>
        <w:pStyle w:val="NumberedBullets"/>
        <w:numPr>
          <w:ilvl w:val="0"/>
          <w:numId w:val="0"/>
        </w:numPr>
        <w:ind w:left="1080"/>
      </w:pPr>
      <w:r w:rsidRPr="00F45E47">
        <w:t xml:space="preserve">This is dependent on </w:t>
      </w:r>
      <w:proofErr w:type="gramStart"/>
      <w:r w:rsidRPr="00F45E47">
        <w:t>a number of</w:t>
      </w:r>
      <w:proofErr w:type="gramEnd"/>
      <w:r w:rsidRPr="00F45E47">
        <w:t xml:space="preserve"> factors, but generally it requires a couple of months lead in, to get the S52 letters signed etc</w:t>
      </w:r>
      <w:r w:rsidR="006D47BD">
        <w:t>, engage with local LMCs and GPs</w:t>
      </w:r>
      <w:r w:rsidRPr="00F45E47">
        <w:t>.</w:t>
      </w:r>
    </w:p>
    <w:p w14:paraId="3D76EBA0" w14:textId="77777777" w:rsidR="00AE301A" w:rsidRPr="00F45E47" w:rsidRDefault="00AE301A" w:rsidP="008B7914">
      <w:pPr>
        <w:pStyle w:val="NumberedBullets"/>
        <w:numPr>
          <w:ilvl w:val="0"/>
          <w:numId w:val="0"/>
        </w:numPr>
        <w:ind w:left="1080"/>
      </w:pPr>
    </w:p>
    <w:p w14:paraId="163A25C8" w14:textId="6F4A009B" w:rsidR="00AE301A" w:rsidRPr="006221B6" w:rsidRDefault="00AE301A" w:rsidP="008B7914">
      <w:pPr>
        <w:pStyle w:val="NumberedBullets"/>
        <w:ind w:left="1080"/>
        <w:rPr>
          <w:b/>
          <w:bCs/>
        </w:rPr>
      </w:pPr>
      <w:r w:rsidRPr="006221B6">
        <w:rPr>
          <w:b/>
          <w:bCs/>
        </w:rPr>
        <w:t>Is there an impact on SFIs?</w:t>
      </w:r>
      <w:r w:rsidR="001509E4" w:rsidRPr="006221B6">
        <w:rPr>
          <w:b/>
          <w:bCs/>
        </w:rPr>
        <w:t xml:space="preserve"> </w:t>
      </w:r>
    </w:p>
    <w:p w14:paraId="5B45E40D" w14:textId="081B8349" w:rsidR="00A11408" w:rsidRPr="00F45E47" w:rsidRDefault="00AE301A" w:rsidP="00431E52">
      <w:pPr>
        <w:pStyle w:val="NumberedBullets"/>
        <w:numPr>
          <w:ilvl w:val="0"/>
          <w:numId w:val="0"/>
        </w:numPr>
        <w:ind w:left="1080"/>
      </w:pPr>
      <w:r w:rsidRPr="00F45E47">
        <w:t xml:space="preserve">These are specific arrangements for each CCG, but agreements can be made with the </w:t>
      </w:r>
      <w:proofErr w:type="spellStart"/>
      <w:r w:rsidRPr="00F45E47">
        <w:t>DoF</w:t>
      </w:r>
      <w:proofErr w:type="spellEnd"/>
      <w:r w:rsidR="006D47BD">
        <w:t xml:space="preserve">. The payments are set up </w:t>
      </w:r>
      <w:r w:rsidRPr="00F45E47">
        <w:t>on an annual basis with known amounts</w:t>
      </w:r>
      <w:r w:rsidR="006D47BD">
        <w:t xml:space="preserve">, this </w:t>
      </w:r>
      <w:r w:rsidRPr="00F45E47">
        <w:t xml:space="preserve">is not a short cut </w:t>
      </w:r>
      <w:r w:rsidR="006D47BD">
        <w:t>to</w:t>
      </w:r>
      <w:r w:rsidRPr="00F45E47">
        <w:t xml:space="preserve"> avoid setting a supplier up or </w:t>
      </w:r>
      <w:r w:rsidR="006D47BD">
        <w:t xml:space="preserve">to avoid raising </w:t>
      </w:r>
      <w:r w:rsidRPr="00F45E47">
        <w:t xml:space="preserve">a PO. </w:t>
      </w:r>
      <w:r w:rsidR="006D47BD">
        <w:t>This is simply an arrangement to pay on behalf of</w:t>
      </w:r>
      <w:r w:rsidRPr="00F45E47">
        <w:t xml:space="preserve"> the GP claim.</w:t>
      </w:r>
    </w:p>
    <w:p w14:paraId="4A071F0D" w14:textId="77777777" w:rsidR="00AE301A" w:rsidRPr="00F45E47" w:rsidRDefault="00AE301A" w:rsidP="00431E52">
      <w:pPr>
        <w:pStyle w:val="NumberedBullets"/>
        <w:numPr>
          <w:ilvl w:val="0"/>
          <w:numId w:val="0"/>
        </w:numPr>
        <w:ind w:left="1440" w:hanging="360"/>
      </w:pPr>
    </w:p>
    <w:p w14:paraId="0E3F0EBE" w14:textId="4C0AEBBE" w:rsidR="00AE301A" w:rsidRPr="006221B6" w:rsidRDefault="00AE301A" w:rsidP="008B7914">
      <w:pPr>
        <w:pStyle w:val="NumberedBullets"/>
        <w:ind w:left="1080"/>
        <w:rPr>
          <w:b/>
          <w:bCs/>
        </w:rPr>
      </w:pPr>
      <w:r w:rsidRPr="006221B6">
        <w:rPr>
          <w:b/>
          <w:bCs/>
        </w:rPr>
        <w:t xml:space="preserve">Will the GP still receive an invoice and a schedule of the costs? </w:t>
      </w:r>
      <w:r w:rsidR="00011514" w:rsidRPr="006221B6">
        <w:rPr>
          <w:b/>
          <w:bCs/>
        </w:rPr>
        <w:t xml:space="preserve"> </w:t>
      </w:r>
    </w:p>
    <w:p w14:paraId="24253A69" w14:textId="0253EBC0" w:rsidR="00AE301A" w:rsidRPr="00F45E47" w:rsidRDefault="00AE301A" w:rsidP="008B7914">
      <w:pPr>
        <w:pStyle w:val="NumberedBullets"/>
        <w:numPr>
          <w:ilvl w:val="0"/>
          <w:numId w:val="0"/>
        </w:numPr>
        <w:ind w:left="1080"/>
      </w:pPr>
      <w:r w:rsidRPr="00F45E47">
        <w:t>Yes, the GP still receive</w:t>
      </w:r>
      <w:r w:rsidR="000A539E">
        <w:t>s the</w:t>
      </w:r>
      <w:r w:rsidR="00EC36F8">
        <w:t xml:space="preserve"> Annual Charging Schedules</w:t>
      </w:r>
      <w:r w:rsidRPr="00F45E47">
        <w:t xml:space="preserve"> </w:t>
      </w:r>
      <w:r w:rsidR="00EC36F8">
        <w:t xml:space="preserve">and </w:t>
      </w:r>
      <w:r w:rsidRPr="00F45E47">
        <w:t>invoice</w:t>
      </w:r>
      <w:r w:rsidR="000A539E">
        <w:t>s</w:t>
      </w:r>
      <w:r w:rsidRPr="00F45E47">
        <w:t xml:space="preserve"> to enable them to properly account for the transaction in the GP</w:t>
      </w:r>
      <w:r w:rsidR="00431E52">
        <w:t>’</w:t>
      </w:r>
      <w:r w:rsidRPr="00F45E47">
        <w:t xml:space="preserve">s accounts. </w:t>
      </w:r>
      <w:r w:rsidR="00EC36F8">
        <w:t xml:space="preserve">The invoices confirm that the rent, rates, </w:t>
      </w:r>
      <w:proofErr w:type="gramStart"/>
      <w:r w:rsidR="00EC36F8">
        <w:t>water</w:t>
      </w:r>
      <w:proofErr w:type="gramEnd"/>
      <w:r w:rsidR="00EC36F8">
        <w:t xml:space="preserve"> and clinical waste are paid directly by the CCG to NHSPS. </w:t>
      </w:r>
      <w:r w:rsidRPr="00F45E47">
        <w:t xml:space="preserve">This is followed up with a statement confirming the reimbursable charges have been paid by the CCG and are no longer outstanding.  </w:t>
      </w:r>
      <w:r w:rsidR="00EC36F8">
        <w:t xml:space="preserve"> </w:t>
      </w:r>
    </w:p>
    <w:p w14:paraId="433E8824" w14:textId="58FBD2A3" w:rsidR="00AE301A" w:rsidRPr="00F45E47" w:rsidRDefault="00AE301A" w:rsidP="008B7914">
      <w:pPr>
        <w:pStyle w:val="NumberedBullets"/>
        <w:numPr>
          <w:ilvl w:val="0"/>
          <w:numId w:val="0"/>
        </w:numPr>
        <w:ind w:left="1080"/>
      </w:pPr>
    </w:p>
    <w:p w14:paraId="50F9972E" w14:textId="1FE9330E" w:rsidR="00AE301A" w:rsidRPr="006221B6" w:rsidRDefault="00AE301A" w:rsidP="008B7914">
      <w:pPr>
        <w:pStyle w:val="NumberedBullets"/>
        <w:ind w:left="1080"/>
        <w:rPr>
          <w:b/>
          <w:bCs/>
        </w:rPr>
      </w:pPr>
      <w:r w:rsidRPr="006221B6">
        <w:rPr>
          <w:b/>
          <w:bCs/>
        </w:rPr>
        <w:t xml:space="preserve">Should the management fee be included as a reimbursable </w:t>
      </w:r>
      <w:r w:rsidR="006221B6" w:rsidRPr="006221B6">
        <w:rPr>
          <w:b/>
          <w:bCs/>
        </w:rPr>
        <w:t>c</w:t>
      </w:r>
      <w:r w:rsidR="00B267DF" w:rsidRPr="006221B6">
        <w:rPr>
          <w:b/>
          <w:bCs/>
        </w:rPr>
        <w:t>ost</w:t>
      </w:r>
      <w:r w:rsidRPr="006221B6">
        <w:rPr>
          <w:b/>
          <w:bCs/>
        </w:rPr>
        <w:t xml:space="preserve">? </w:t>
      </w:r>
    </w:p>
    <w:p w14:paraId="1229B234" w14:textId="21C54C6E" w:rsidR="00AE301A" w:rsidRPr="006221B6" w:rsidRDefault="00AE301A" w:rsidP="008B7914">
      <w:pPr>
        <w:pStyle w:val="NumberedBullets"/>
        <w:numPr>
          <w:ilvl w:val="0"/>
          <w:numId w:val="0"/>
        </w:numPr>
        <w:ind w:left="1080"/>
        <w:rPr>
          <w:u w:val="single"/>
        </w:rPr>
      </w:pPr>
      <w:r w:rsidRPr="00F45E47">
        <w:t xml:space="preserve">Yes, NHSE&amp;I has agreed that the </w:t>
      </w:r>
      <w:r w:rsidRPr="006221B6">
        <w:rPr>
          <w:u w:val="single"/>
        </w:rPr>
        <w:t>management fee for reimbursable costs is also reimbursable.</w:t>
      </w:r>
    </w:p>
    <w:p w14:paraId="64A63D58" w14:textId="77777777" w:rsidR="00AE301A" w:rsidRPr="00F45E47" w:rsidRDefault="00AE301A" w:rsidP="008B7914">
      <w:pPr>
        <w:pStyle w:val="NumberedBullets"/>
        <w:numPr>
          <w:ilvl w:val="0"/>
          <w:numId w:val="0"/>
        </w:numPr>
        <w:ind w:left="1080"/>
      </w:pPr>
    </w:p>
    <w:p w14:paraId="588C4B9C" w14:textId="2911E8F6" w:rsidR="00AE301A" w:rsidRPr="006221B6" w:rsidRDefault="00AE301A" w:rsidP="008B7914">
      <w:pPr>
        <w:pStyle w:val="NumberedBullets"/>
        <w:ind w:left="1080"/>
        <w:rPr>
          <w:b/>
          <w:bCs/>
        </w:rPr>
      </w:pPr>
      <w:r w:rsidRPr="006221B6">
        <w:rPr>
          <w:b/>
          <w:bCs/>
        </w:rPr>
        <w:t>Is the CCG liable for aged</w:t>
      </w:r>
      <w:r w:rsidR="00B267DF" w:rsidRPr="006221B6">
        <w:rPr>
          <w:b/>
          <w:bCs/>
        </w:rPr>
        <w:t xml:space="preserve"> reimbursable</w:t>
      </w:r>
      <w:r w:rsidRPr="006221B6">
        <w:rPr>
          <w:b/>
          <w:bCs/>
        </w:rPr>
        <w:t xml:space="preserve"> debt?</w:t>
      </w:r>
      <w:r w:rsidR="00011514" w:rsidRPr="006221B6">
        <w:rPr>
          <w:b/>
          <w:bCs/>
        </w:rPr>
        <w:t xml:space="preserve"> </w:t>
      </w:r>
    </w:p>
    <w:p w14:paraId="29C5FE25" w14:textId="3D007DEE" w:rsidR="00EC36F8" w:rsidRPr="000A539E" w:rsidRDefault="00AE301A" w:rsidP="008B7914">
      <w:pPr>
        <w:pStyle w:val="NumberedBullets"/>
        <w:numPr>
          <w:ilvl w:val="0"/>
          <w:numId w:val="0"/>
        </w:numPr>
        <w:ind w:left="1080"/>
      </w:pPr>
      <w:r w:rsidRPr="00F45E47">
        <w:t>No, but property companies would work with commissioners to ensure any funds passed were known and collectively chased.</w:t>
      </w:r>
      <w:r w:rsidR="00B267DF">
        <w:t xml:space="preserve"> </w:t>
      </w:r>
      <w:r w:rsidR="0096243C">
        <w:t xml:space="preserve">This is where </w:t>
      </w:r>
      <w:r w:rsidR="00431E52">
        <w:t>D</w:t>
      </w:r>
      <w:r w:rsidR="0096243C">
        <w:t xml:space="preserve">irect </w:t>
      </w:r>
      <w:r w:rsidR="00431E52">
        <w:t>P</w:t>
      </w:r>
      <w:r w:rsidR="0096243C">
        <w:t>ayments can help to prevent situations where reimbursable funds are not being used for the intended purpose and creating a potential issue for GPs</w:t>
      </w:r>
      <w:r w:rsidR="00EC36F8">
        <w:t xml:space="preserve">. </w:t>
      </w:r>
      <w:r w:rsidR="00EC36F8" w:rsidRPr="000A539E">
        <w:t>We are working with CCGs to help resolve the historic reimbursables issues where GPs have not been pa</w:t>
      </w:r>
      <w:r w:rsidR="009D26EE">
        <w:t>ying</w:t>
      </w:r>
      <w:r w:rsidR="00EC36F8" w:rsidRPr="000A539E">
        <w:t xml:space="preserve"> reimbursable</w:t>
      </w:r>
      <w:r w:rsidR="009D26EE">
        <w:t xml:space="preserve"> costs</w:t>
      </w:r>
      <w:r w:rsidR="00EC36F8" w:rsidRPr="000A539E">
        <w:t xml:space="preserve">. </w:t>
      </w:r>
    </w:p>
    <w:p w14:paraId="193D7611" w14:textId="5EFCF814" w:rsidR="00AE301A" w:rsidRPr="00F45E47" w:rsidRDefault="00EC36F8" w:rsidP="008B7914">
      <w:pPr>
        <w:pStyle w:val="NumberedBullets"/>
        <w:numPr>
          <w:ilvl w:val="0"/>
          <w:numId w:val="0"/>
        </w:numPr>
        <w:ind w:left="1080"/>
      </w:pPr>
      <w:r>
        <w:t xml:space="preserve"> </w:t>
      </w:r>
    </w:p>
    <w:p w14:paraId="70E4A4C2" w14:textId="05C77B2E" w:rsidR="00AE301A" w:rsidRPr="006221B6" w:rsidRDefault="00AE301A" w:rsidP="008B7914">
      <w:pPr>
        <w:pStyle w:val="NumberedBullets"/>
        <w:ind w:left="1080"/>
        <w:rPr>
          <w:b/>
          <w:bCs/>
        </w:rPr>
      </w:pPr>
      <w:r w:rsidRPr="006221B6">
        <w:rPr>
          <w:b/>
          <w:bCs/>
        </w:rPr>
        <w:t>What about non-reimbursable debt?</w:t>
      </w:r>
    </w:p>
    <w:p w14:paraId="0E9189D6" w14:textId="6887CC89" w:rsidR="00AE301A" w:rsidRDefault="00AE301A" w:rsidP="008B7914">
      <w:pPr>
        <w:pStyle w:val="NumberedBullets"/>
        <w:numPr>
          <w:ilvl w:val="0"/>
          <w:numId w:val="0"/>
        </w:numPr>
        <w:ind w:left="1080"/>
      </w:pPr>
      <w:r w:rsidRPr="00F45E47">
        <w:t xml:space="preserve">Normal arrangements would </w:t>
      </w:r>
      <w:proofErr w:type="gramStart"/>
      <w:r w:rsidRPr="00F45E47">
        <w:t>apply</w:t>
      </w:r>
      <w:proofErr w:type="gramEnd"/>
      <w:r w:rsidRPr="00F45E47">
        <w:t xml:space="preserve"> and the </w:t>
      </w:r>
      <w:r w:rsidR="004E7684">
        <w:t>property companies</w:t>
      </w:r>
      <w:r w:rsidRPr="00F45E47">
        <w:t xml:space="preserve"> would chase these as part of BAU.</w:t>
      </w:r>
    </w:p>
    <w:p w14:paraId="3CBE8EEB" w14:textId="77777777" w:rsidR="00431E52" w:rsidRPr="00F45E47" w:rsidRDefault="00431E52" w:rsidP="008B7914">
      <w:pPr>
        <w:pStyle w:val="NumberedBullets"/>
        <w:numPr>
          <w:ilvl w:val="0"/>
          <w:numId w:val="0"/>
        </w:numPr>
        <w:ind w:left="1080"/>
      </w:pPr>
    </w:p>
    <w:p w14:paraId="38316154" w14:textId="03820DA6" w:rsidR="00AE301A" w:rsidRPr="006221B6" w:rsidRDefault="00AE301A" w:rsidP="008B7914">
      <w:pPr>
        <w:pStyle w:val="NumberedBullets"/>
        <w:ind w:left="1080"/>
        <w:rPr>
          <w:b/>
          <w:bCs/>
        </w:rPr>
      </w:pPr>
      <w:r w:rsidRPr="006221B6">
        <w:rPr>
          <w:b/>
          <w:bCs/>
        </w:rPr>
        <w:lastRenderedPageBreak/>
        <w:t>Do all GPs need to sign up to the scheme for it to go ahead?</w:t>
      </w:r>
      <w:r w:rsidR="00011514" w:rsidRPr="006221B6">
        <w:rPr>
          <w:b/>
          <w:bCs/>
        </w:rPr>
        <w:t xml:space="preserve"> </w:t>
      </w:r>
    </w:p>
    <w:p w14:paraId="596FA2B7" w14:textId="2A40EC85" w:rsidR="00AE301A" w:rsidRDefault="00AE301A" w:rsidP="008B7914">
      <w:pPr>
        <w:pStyle w:val="NumberedBullets"/>
        <w:numPr>
          <w:ilvl w:val="0"/>
          <w:numId w:val="0"/>
        </w:numPr>
        <w:ind w:left="1080"/>
      </w:pPr>
      <w:r w:rsidRPr="00F45E47">
        <w:t xml:space="preserve">No, although </w:t>
      </w:r>
      <w:r w:rsidR="0096243C">
        <w:t xml:space="preserve">this may be </w:t>
      </w:r>
      <w:r w:rsidRPr="00F45E47">
        <w:t>preferable</w:t>
      </w:r>
      <w:r w:rsidR="0096243C">
        <w:t xml:space="preserve"> to CCGs.</w:t>
      </w:r>
    </w:p>
    <w:p w14:paraId="2AC22E7C" w14:textId="77777777" w:rsidR="00AE301A" w:rsidRDefault="00AE301A" w:rsidP="008B7914">
      <w:pPr>
        <w:pStyle w:val="NumberedBullets"/>
        <w:numPr>
          <w:ilvl w:val="0"/>
          <w:numId w:val="0"/>
        </w:numPr>
        <w:ind w:left="1080"/>
      </w:pPr>
    </w:p>
    <w:p w14:paraId="767E0304" w14:textId="715CBCA6" w:rsidR="00AE301A" w:rsidRPr="006221B6" w:rsidRDefault="00AE301A" w:rsidP="008B7914">
      <w:pPr>
        <w:pStyle w:val="NumberedBullets"/>
        <w:ind w:left="1080"/>
        <w:rPr>
          <w:b/>
          <w:bCs/>
        </w:rPr>
      </w:pPr>
      <w:r w:rsidRPr="006221B6">
        <w:rPr>
          <w:b/>
          <w:bCs/>
        </w:rPr>
        <w:t xml:space="preserve">Can a GP sign up for </w:t>
      </w:r>
      <w:r w:rsidR="004E7684" w:rsidRPr="006221B6">
        <w:rPr>
          <w:b/>
          <w:bCs/>
        </w:rPr>
        <w:t>D</w:t>
      </w:r>
      <w:r w:rsidRPr="006221B6">
        <w:rPr>
          <w:b/>
          <w:bCs/>
        </w:rPr>
        <w:t xml:space="preserve">irect </w:t>
      </w:r>
      <w:r w:rsidR="004E7684" w:rsidRPr="006221B6">
        <w:rPr>
          <w:b/>
          <w:bCs/>
        </w:rPr>
        <w:t>P</w:t>
      </w:r>
      <w:r w:rsidRPr="006221B6">
        <w:rPr>
          <w:b/>
          <w:bCs/>
        </w:rPr>
        <w:t xml:space="preserve">ayments even if they </w:t>
      </w:r>
      <w:proofErr w:type="gramStart"/>
      <w:r w:rsidRPr="006221B6">
        <w:rPr>
          <w:b/>
          <w:bCs/>
        </w:rPr>
        <w:t>don’t</w:t>
      </w:r>
      <w:proofErr w:type="gramEnd"/>
      <w:r w:rsidRPr="006221B6">
        <w:rPr>
          <w:b/>
          <w:bCs/>
        </w:rPr>
        <w:t xml:space="preserve"> have a lease in place? </w:t>
      </w:r>
    </w:p>
    <w:p w14:paraId="0A731B6C" w14:textId="0BEDBEE9" w:rsidR="00AE301A" w:rsidRDefault="00AE301A" w:rsidP="008B7914">
      <w:pPr>
        <w:pStyle w:val="NumberedBullets"/>
        <w:numPr>
          <w:ilvl w:val="0"/>
          <w:numId w:val="0"/>
        </w:numPr>
        <w:ind w:left="1080"/>
      </w:pPr>
      <w:r>
        <w:t xml:space="preserve">Yes, although </w:t>
      </w:r>
      <w:proofErr w:type="gramStart"/>
      <w:r>
        <w:t>clearly</w:t>
      </w:r>
      <w:proofErr w:type="gramEnd"/>
      <w:r>
        <w:t xml:space="preserve"> we would prefer the GP to have a lease in place</w:t>
      </w:r>
      <w:r w:rsidR="0096243C">
        <w:t xml:space="preserve"> to set out the full occupancy position</w:t>
      </w:r>
      <w:r>
        <w:t>.</w:t>
      </w:r>
    </w:p>
    <w:p w14:paraId="3BFD9B36" w14:textId="77777777" w:rsidR="00AE301A" w:rsidRDefault="00AE301A" w:rsidP="008B7914">
      <w:pPr>
        <w:pStyle w:val="NumberedBullets"/>
        <w:numPr>
          <w:ilvl w:val="0"/>
          <w:numId w:val="0"/>
        </w:numPr>
        <w:ind w:left="1080"/>
      </w:pPr>
    </w:p>
    <w:p w14:paraId="6E80F188" w14:textId="6682304B" w:rsidR="00126BB8" w:rsidRPr="006221B6" w:rsidRDefault="00F9310D" w:rsidP="008B7914">
      <w:pPr>
        <w:pStyle w:val="NumberedBullets"/>
        <w:ind w:left="1080"/>
        <w:rPr>
          <w:b/>
          <w:bCs/>
        </w:rPr>
      </w:pPr>
      <w:r w:rsidRPr="006221B6">
        <w:rPr>
          <w:b/>
          <w:bCs/>
        </w:rPr>
        <w:t>Who initiates this</w:t>
      </w:r>
      <w:r w:rsidR="00011514" w:rsidRPr="006221B6">
        <w:rPr>
          <w:b/>
          <w:bCs/>
        </w:rPr>
        <w:t xml:space="preserve"> process</w:t>
      </w:r>
      <w:r w:rsidRPr="006221B6">
        <w:rPr>
          <w:b/>
          <w:bCs/>
        </w:rPr>
        <w:t xml:space="preserve"> – CCGs or practices?</w:t>
      </w:r>
    </w:p>
    <w:p w14:paraId="585EE399" w14:textId="2F6EBDDC" w:rsidR="00A11408" w:rsidRDefault="0096243C" w:rsidP="008B7914">
      <w:pPr>
        <w:pStyle w:val="NumberedBullets"/>
        <w:numPr>
          <w:ilvl w:val="0"/>
          <w:numId w:val="0"/>
        </w:numPr>
        <w:ind w:left="1080"/>
      </w:pPr>
      <w:r>
        <w:t xml:space="preserve">This is usually driven by </w:t>
      </w:r>
      <w:r w:rsidR="004E7684">
        <w:t>the CCG and the property companies. However, there are instances where GP</w:t>
      </w:r>
      <w:r>
        <w:t>s</w:t>
      </w:r>
      <w:r w:rsidR="004E7684">
        <w:t xml:space="preserve"> </w:t>
      </w:r>
      <w:r>
        <w:t xml:space="preserve">have </w:t>
      </w:r>
      <w:r w:rsidR="004E7684">
        <w:t>approach</w:t>
      </w:r>
      <w:r>
        <w:t>ed</w:t>
      </w:r>
      <w:r w:rsidR="004E7684">
        <w:t xml:space="preserve"> the property companies directly to say they</w:t>
      </w:r>
      <w:r>
        <w:t xml:space="preserve"> would</w:t>
      </w:r>
      <w:r w:rsidR="004E7684">
        <w:t xml:space="preserve"> like to </w:t>
      </w:r>
      <w:r>
        <w:t>do this</w:t>
      </w:r>
      <w:r w:rsidR="004E7684">
        <w:t>. In those circumstances, the property company would then engage with the CCG to let them know they have interest from one of their GP practices.</w:t>
      </w:r>
      <w:r w:rsidR="00AB4F05">
        <w:t xml:space="preserve"> </w:t>
      </w:r>
      <w:r>
        <w:t>T</w:t>
      </w:r>
      <w:r w:rsidR="00AB4F05">
        <w:t xml:space="preserve">he CCGs agreement </w:t>
      </w:r>
      <w:r>
        <w:t xml:space="preserve">is required </w:t>
      </w:r>
      <w:r w:rsidR="00AB4F05">
        <w:t xml:space="preserve">before </w:t>
      </w:r>
      <w:r w:rsidR="00431E52">
        <w:t>D</w:t>
      </w:r>
      <w:r>
        <w:t xml:space="preserve">irect </w:t>
      </w:r>
      <w:r w:rsidR="00431E52">
        <w:t>P</w:t>
      </w:r>
      <w:r>
        <w:t>ayments can go ahead</w:t>
      </w:r>
      <w:r w:rsidR="00A11408">
        <w:t xml:space="preserve">. </w:t>
      </w:r>
    </w:p>
    <w:p w14:paraId="63A20893" w14:textId="77777777" w:rsidR="00F95EEA" w:rsidRDefault="00F95EEA" w:rsidP="008B7914">
      <w:pPr>
        <w:pStyle w:val="NumberedBullets"/>
        <w:numPr>
          <w:ilvl w:val="0"/>
          <w:numId w:val="0"/>
        </w:numPr>
        <w:ind w:left="1080"/>
      </w:pPr>
    </w:p>
    <w:p w14:paraId="496DD18D" w14:textId="4FCC9207" w:rsidR="00861BA5" w:rsidRPr="006221B6" w:rsidRDefault="0084515B" w:rsidP="008B7914">
      <w:pPr>
        <w:pStyle w:val="NumberedBullets"/>
        <w:ind w:left="1080"/>
        <w:rPr>
          <w:b/>
          <w:bCs/>
        </w:rPr>
      </w:pPr>
      <w:r w:rsidRPr="006221B6">
        <w:rPr>
          <w:b/>
          <w:bCs/>
        </w:rPr>
        <w:t>We have a situation where a practice has not claimed their reimbursables</w:t>
      </w:r>
      <w:r w:rsidR="00852C68" w:rsidRPr="006221B6">
        <w:rPr>
          <w:b/>
          <w:bCs/>
        </w:rPr>
        <w:t xml:space="preserve"> </w:t>
      </w:r>
      <w:r w:rsidRPr="006221B6">
        <w:rPr>
          <w:b/>
          <w:bCs/>
        </w:rPr>
        <w:t xml:space="preserve">and have since lost the contract. We therefore don’t want to pay this to the </w:t>
      </w:r>
      <w:proofErr w:type="gramStart"/>
      <w:r w:rsidRPr="006221B6">
        <w:rPr>
          <w:b/>
          <w:bCs/>
        </w:rPr>
        <w:t>practice</w:t>
      </w:r>
      <w:proofErr w:type="gramEnd"/>
      <w:r w:rsidRPr="006221B6">
        <w:rPr>
          <w:b/>
          <w:bCs/>
        </w:rPr>
        <w:t xml:space="preserve"> but we are not clear if we have a right to make a direct payment without their authority. Is there a process for doing this?</w:t>
      </w:r>
      <w:r w:rsidR="00011514" w:rsidRPr="006221B6">
        <w:rPr>
          <w:b/>
          <w:bCs/>
        </w:rPr>
        <w:t xml:space="preserve"> </w:t>
      </w:r>
    </w:p>
    <w:p w14:paraId="5B182C71" w14:textId="22B94BE5" w:rsidR="00861BA5" w:rsidRDefault="00861BA5" w:rsidP="008B7914">
      <w:pPr>
        <w:pStyle w:val="NumberedBullets"/>
        <w:numPr>
          <w:ilvl w:val="0"/>
          <w:numId w:val="0"/>
        </w:numPr>
        <w:ind w:left="1080"/>
      </w:pPr>
      <w:r>
        <w:t xml:space="preserve">GPs must sign a Section 52 letter to agree to sign up to Direct Payments and enable CCGs to make payments to the property companies on their behalf. </w:t>
      </w:r>
      <w:r w:rsidR="0096243C" w:rsidRPr="00A11408">
        <w:t>If a GP does not make payments to the property company for its reimbursable costs</w:t>
      </w:r>
      <w:r w:rsidR="000A539E">
        <w:t>,</w:t>
      </w:r>
      <w:r w:rsidR="0096243C" w:rsidRPr="00A11408">
        <w:t xml:space="preserve"> then this would result in the appropriate legal action being taken by the property companies.  A CCG could make </w:t>
      </w:r>
      <w:r w:rsidR="00431E52">
        <w:t>D</w:t>
      </w:r>
      <w:r w:rsidR="0096243C" w:rsidRPr="00A11408">
        <w:t>irect</w:t>
      </w:r>
      <w:r w:rsidR="00431E52">
        <w:t xml:space="preserve"> P</w:t>
      </w:r>
      <w:r w:rsidR="0096243C" w:rsidRPr="00A11408">
        <w:t>ayments (and acceptance of this by a GP) a condition of the payment of reimbursable funds.</w:t>
      </w:r>
      <w:r w:rsidR="00F73C83">
        <w:t xml:space="preserve"> </w:t>
      </w:r>
    </w:p>
    <w:p w14:paraId="09EA66E1" w14:textId="77777777" w:rsidR="009E2A0B" w:rsidRDefault="009E2A0B" w:rsidP="008B7914">
      <w:pPr>
        <w:pStyle w:val="NumberedBullets"/>
        <w:numPr>
          <w:ilvl w:val="0"/>
          <w:numId w:val="0"/>
        </w:numPr>
        <w:ind w:left="1080"/>
      </w:pPr>
    </w:p>
    <w:p w14:paraId="15C5387B" w14:textId="6959041C" w:rsidR="0084515B" w:rsidRPr="006221B6" w:rsidRDefault="0084515B" w:rsidP="008B7914">
      <w:pPr>
        <w:pStyle w:val="NumberedBullets"/>
        <w:ind w:left="1080"/>
        <w:rPr>
          <w:b/>
          <w:bCs/>
        </w:rPr>
      </w:pPr>
      <w:r w:rsidRPr="006221B6">
        <w:rPr>
          <w:b/>
          <w:bCs/>
        </w:rPr>
        <w:t xml:space="preserve">Primary </w:t>
      </w:r>
      <w:r w:rsidR="008B7914" w:rsidRPr="006221B6">
        <w:rPr>
          <w:b/>
          <w:bCs/>
        </w:rPr>
        <w:t>C</w:t>
      </w:r>
      <w:r w:rsidRPr="006221B6">
        <w:rPr>
          <w:b/>
          <w:bCs/>
        </w:rPr>
        <w:t>are have lots of difficulty with PCSE (Capita) payment processes currently, with working time for feedback and resolution 60 days upwards. In addition, there is a process for them to be making CQRS local payments – do they have enough functional capacity to manage this given their current pressures?</w:t>
      </w:r>
    </w:p>
    <w:p w14:paraId="46A64F5A" w14:textId="0F9F9449" w:rsidR="0084515B" w:rsidRDefault="0084515B" w:rsidP="008B7914">
      <w:pPr>
        <w:pStyle w:val="NumberedBullets"/>
        <w:numPr>
          <w:ilvl w:val="0"/>
          <w:numId w:val="0"/>
        </w:numPr>
        <w:ind w:left="1080"/>
      </w:pPr>
      <w:r>
        <w:t>T</w:t>
      </w:r>
      <w:r w:rsidRPr="0084515B">
        <w:t>hank</w:t>
      </w:r>
      <w:r w:rsidR="00DE7C15">
        <w:t xml:space="preserve"> you</w:t>
      </w:r>
      <w:r w:rsidRPr="0084515B">
        <w:t xml:space="preserve"> for the feedback</w:t>
      </w:r>
      <w:r w:rsidR="00DE7C15">
        <w:t>.</w:t>
      </w:r>
      <w:r w:rsidRPr="0084515B">
        <w:t xml:space="preserve"> </w:t>
      </w:r>
      <w:r w:rsidR="00DE7C15">
        <w:t>O</w:t>
      </w:r>
      <w:r w:rsidR="00DE7C15" w:rsidRPr="0084515B">
        <w:t xml:space="preserve">ne </w:t>
      </w:r>
      <w:r w:rsidRPr="0084515B">
        <w:t xml:space="preserve">of the reasons </w:t>
      </w:r>
      <w:r w:rsidR="00DE7C15">
        <w:t xml:space="preserve">that NHSE&amp;I </w:t>
      </w:r>
      <w:r w:rsidRPr="0084515B">
        <w:t xml:space="preserve">have not asked Capita to implement an automated direct payments module in parallel with the </w:t>
      </w:r>
      <w:r w:rsidR="00DE7C15">
        <w:t>‘</w:t>
      </w:r>
      <w:r w:rsidRPr="0084515B">
        <w:t>go live</w:t>
      </w:r>
      <w:r w:rsidR="00DE7C15">
        <w:t>’</w:t>
      </w:r>
      <w:r w:rsidRPr="0084515B">
        <w:t xml:space="preserve"> of the new system is to ensure we are all confident of its functionality to deliver the intended outputs</w:t>
      </w:r>
      <w:r>
        <w:t>.</w:t>
      </w:r>
    </w:p>
    <w:p w14:paraId="70576A72" w14:textId="77777777" w:rsidR="00F95EEA" w:rsidRDefault="00F95EEA" w:rsidP="008B7914">
      <w:pPr>
        <w:pStyle w:val="NumberedBullets"/>
        <w:numPr>
          <w:ilvl w:val="0"/>
          <w:numId w:val="0"/>
        </w:numPr>
        <w:ind w:left="1080"/>
      </w:pPr>
    </w:p>
    <w:p w14:paraId="24B0C8B1" w14:textId="65972DFA" w:rsidR="00F95EEA" w:rsidRPr="006221B6" w:rsidRDefault="0084515B" w:rsidP="008B7914">
      <w:pPr>
        <w:pStyle w:val="NumberedBullets"/>
        <w:ind w:left="1080"/>
        <w:rPr>
          <w:b/>
          <w:bCs/>
        </w:rPr>
      </w:pPr>
      <w:r w:rsidRPr="006221B6">
        <w:rPr>
          <w:b/>
          <w:bCs/>
        </w:rPr>
        <w:t>One of my CCGs has stated that they refuse to be involved with Direct Payments. Will they become mandatory?</w:t>
      </w:r>
      <w:r w:rsidR="00011514" w:rsidRPr="006221B6">
        <w:rPr>
          <w:b/>
          <w:bCs/>
        </w:rPr>
        <w:t xml:space="preserve"> </w:t>
      </w:r>
    </w:p>
    <w:p w14:paraId="68E14213" w14:textId="633C33F3" w:rsidR="00F95EEA" w:rsidRDefault="00F95EEA" w:rsidP="008B7914">
      <w:pPr>
        <w:pStyle w:val="NumberedBullets"/>
        <w:numPr>
          <w:ilvl w:val="0"/>
          <w:numId w:val="0"/>
        </w:numPr>
        <w:ind w:left="1080"/>
      </w:pPr>
      <w:proofErr w:type="gramStart"/>
      <w:r>
        <w:t>At the moment</w:t>
      </w:r>
      <w:proofErr w:type="gramEnd"/>
      <w:r>
        <w:t xml:space="preserve">, Direct Payments will </w:t>
      </w:r>
      <w:r w:rsidRPr="006221B6">
        <w:rPr>
          <w:u w:val="single"/>
        </w:rPr>
        <w:t>only be mandated for new occupancies or new contractors</w:t>
      </w:r>
      <w:r w:rsidR="00011514" w:rsidRPr="006221B6">
        <w:rPr>
          <w:u w:val="single"/>
        </w:rPr>
        <w:t xml:space="preserve"> in NHSPS and CHP </w:t>
      </w:r>
      <w:r w:rsidR="006221B6" w:rsidRPr="006221B6">
        <w:rPr>
          <w:u w:val="single"/>
        </w:rPr>
        <w:t>p</w:t>
      </w:r>
      <w:r w:rsidR="00011514" w:rsidRPr="006221B6">
        <w:rPr>
          <w:u w:val="single"/>
        </w:rPr>
        <w:t>roperties</w:t>
      </w:r>
      <w:r w:rsidR="00DE7C15">
        <w:t>, however, should there be a debt issue with reimbursable costs in a particular area, then NHSE&amp;I would expect a CCG to be taking direct payments forward to help to protect and prevent any impact on service provision.</w:t>
      </w:r>
    </w:p>
    <w:p w14:paraId="008F7CBB" w14:textId="77777777" w:rsidR="009E2A0B" w:rsidRDefault="009E2A0B" w:rsidP="008B7914">
      <w:pPr>
        <w:pStyle w:val="NumberedBullets"/>
        <w:numPr>
          <w:ilvl w:val="0"/>
          <w:numId w:val="0"/>
        </w:numPr>
        <w:ind w:left="1080"/>
      </w:pPr>
    </w:p>
    <w:p w14:paraId="2A95CAE4" w14:textId="3FE69210" w:rsidR="0084515B" w:rsidRPr="006221B6" w:rsidRDefault="0084515B" w:rsidP="008B7914">
      <w:pPr>
        <w:pStyle w:val="NumberedBullets"/>
        <w:ind w:left="1080"/>
        <w:rPr>
          <w:b/>
          <w:bCs/>
        </w:rPr>
      </w:pPr>
      <w:r w:rsidRPr="006221B6">
        <w:rPr>
          <w:b/>
          <w:bCs/>
        </w:rPr>
        <w:t>Has Direct Payments helped?</w:t>
      </w:r>
      <w:r w:rsidR="00011514" w:rsidRPr="006221B6">
        <w:rPr>
          <w:b/>
          <w:bCs/>
        </w:rPr>
        <w:t xml:space="preserve"> </w:t>
      </w:r>
    </w:p>
    <w:p w14:paraId="5320B60C" w14:textId="071F8D14" w:rsidR="00EC36F8" w:rsidRPr="000A539E" w:rsidRDefault="00AB4F05" w:rsidP="008B7914">
      <w:pPr>
        <w:pStyle w:val="NumberedBullets"/>
        <w:numPr>
          <w:ilvl w:val="0"/>
          <w:numId w:val="0"/>
        </w:numPr>
        <w:ind w:left="1080"/>
      </w:pPr>
      <w:r>
        <w:t>Yes</w:t>
      </w:r>
      <w:r w:rsidR="00DE7C15">
        <w:t xml:space="preserve">. Both </w:t>
      </w:r>
      <w:r>
        <w:t>property compan</w:t>
      </w:r>
      <w:r w:rsidR="00DE7C15">
        <w:t>ies</w:t>
      </w:r>
      <w:r>
        <w:t xml:space="preserve"> </w:t>
      </w:r>
      <w:r w:rsidR="00DE7C15">
        <w:t xml:space="preserve">have </w:t>
      </w:r>
      <w:r>
        <w:t xml:space="preserve">seen a significant reduction in </w:t>
      </w:r>
      <w:r w:rsidR="00DE7C15">
        <w:t xml:space="preserve">reimbursable </w:t>
      </w:r>
      <w:r>
        <w:t>debt and non-reimbursable debt</w:t>
      </w:r>
      <w:r w:rsidR="00DE7C15">
        <w:t xml:space="preserve"> as a result</w:t>
      </w:r>
      <w:r>
        <w:t>.</w:t>
      </w:r>
      <w:r w:rsidR="00DE7C15">
        <w:t xml:space="preserve"> Where GPs are not on</w:t>
      </w:r>
      <w:r w:rsidR="009E2A0B">
        <w:t xml:space="preserve"> Direct Payments</w:t>
      </w:r>
      <w:r w:rsidR="00DE7C15">
        <w:t>,</w:t>
      </w:r>
      <w:r w:rsidR="009E2A0B">
        <w:t xml:space="preserve"> then </w:t>
      </w:r>
      <w:r w:rsidR="009E2A0B">
        <w:lastRenderedPageBreak/>
        <w:t xml:space="preserve">debtor days are significantly higher. </w:t>
      </w:r>
      <w:r w:rsidR="00EC36F8" w:rsidRPr="000A539E">
        <w:t xml:space="preserve">NHSPS have found </w:t>
      </w:r>
      <w:r w:rsidR="006221B6">
        <w:t>D</w:t>
      </w:r>
      <w:r w:rsidR="00EC36F8" w:rsidRPr="000A539E">
        <w:t xml:space="preserve">irect </w:t>
      </w:r>
      <w:r w:rsidR="006221B6">
        <w:t>P</w:t>
      </w:r>
      <w:r w:rsidR="00EC36F8" w:rsidRPr="000A539E">
        <w:t>ayments helpful where GPs would refuse to make payment to the property company or claim fund</w:t>
      </w:r>
      <w:r w:rsidR="000A539E">
        <w:t>s</w:t>
      </w:r>
      <w:r w:rsidR="00EC36F8" w:rsidRPr="000A539E">
        <w:t>.</w:t>
      </w:r>
    </w:p>
    <w:p w14:paraId="68109920" w14:textId="77777777" w:rsidR="009E2A0B" w:rsidRDefault="009E2A0B" w:rsidP="008B7914">
      <w:pPr>
        <w:pStyle w:val="NumberedBullets"/>
        <w:numPr>
          <w:ilvl w:val="0"/>
          <w:numId w:val="0"/>
        </w:numPr>
        <w:ind w:left="1080"/>
      </w:pPr>
    </w:p>
    <w:p w14:paraId="15B49DAE" w14:textId="73B443F2" w:rsidR="0084515B" w:rsidRPr="006221B6" w:rsidRDefault="0084515B" w:rsidP="008B7914">
      <w:pPr>
        <w:pStyle w:val="NumberedBullets"/>
        <w:ind w:left="1080"/>
        <w:rPr>
          <w:b/>
          <w:bCs/>
        </w:rPr>
      </w:pPr>
      <w:r w:rsidRPr="006221B6">
        <w:rPr>
          <w:b/>
          <w:bCs/>
        </w:rPr>
        <w:t>Will it become easier (from a CCG operational perspective) to join the scheme once the new payment functionality goes live next year?</w:t>
      </w:r>
    </w:p>
    <w:p w14:paraId="5CFF1550" w14:textId="7FACEF3D" w:rsidR="000A539E" w:rsidRDefault="009E2A0B" w:rsidP="008B7914">
      <w:pPr>
        <w:pStyle w:val="NumberedBullets"/>
        <w:numPr>
          <w:ilvl w:val="0"/>
          <w:numId w:val="0"/>
        </w:numPr>
        <w:ind w:left="1080"/>
      </w:pPr>
      <w:r>
        <w:t xml:space="preserve">Yes, but </w:t>
      </w:r>
      <w:proofErr w:type="gramStart"/>
      <w:r>
        <w:t>don’t</w:t>
      </w:r>
      <w:proofErr w:type="gramEnd"/>
      <w:r>
        <w:t xml:space="preserve"> feel that you need to wait. </w:t>
      </w:r>
      <w:r w:rsidR="00DE7C15">
        <w:t xml:space="preserve">CCGs, </w:t>
      </w:r>
      <w:proofErr w:type="gramStart"/>
      <w:r w:rsidR="00DE7C15">
        <w:t>GPs</w:t>
      </w:r>
      <w:proofErr w:type="gramEnd"/>
      <w:r w:rsidR="00DE7C15">
        <w:t xml:space="preserve"> and </w:t>
      </w:r>
      <w:r w:rsidR="00431E52">
        <w:t>p</w:t>
      </w:r>
      <w:r w:rsidR="00DE7C15">
        <w:t>roperty companies</w:t>
      </w:r>
      <w:r>
        <w:t xml:space="preserve"> still benefit from the clarity and transparency of occupancies and </w:t>
      </w:r>
      <w:r w:rsidR="00DE7C15">
        <w:t xml:space="preserve">understanding </w:t>
      </w:r>
      <w:r>
        <w:t xml:space="preserve">how </w:t>
      </w:r>
      <w:r w:rsidR="00DE7C15">
        <w:t xml:space="preserve">the </w:t>
      </w:r>
      <w:r>
        <w:t xml:space="preserve">space is being used. </w:t>
      </w:r>
    </w:p>
    <w:p w14:paraId="3E9C8694" w14:textId="77777777" w:rsidR="00A4778D" w:rsidRPr="00A4778D" w:rsidRDefault="00A4778D" w:rsidP="008B7914">
      <w:pPr>
        <w:pStyle w:val="NumberedBullets"/>
        <w:numPr>
          <w:ilvl w:val="0"/>
          <w:numId w:val="0"/>
        </w:numPr>
        <w:ind w:left="1080"/>
      </w:pPr>
    </w:p>
    <w:p w14:paraId="5C47A6A4" w14:textId="77777777" w:rsidR="00A4778D" w:rsidRPr="006221B6" w:rsidRDefault="000A539E" w:rsidP="008B7914">
      <w:pPr>
        <w:pStyle w:val="NumberedBullets"/>
        <w:ind w:left="1080"/>
        <w:rPr>
          <w:b/>
          <w:bCs/>
        </w:rPr>
      </w:pPr>
      <w:r w:rsidRPr="006221B6">
        <w:rPr>
          <w:b/>
          <w:bCs/>
        </w:rPr>
        <w:t xml:space="preserve">How </w:t>
      </w:r>
      <w:r w:rsidR="00A11408" w:rsidRPr="006221B6">
        <w:rPr>
          <w:b/>
          <w:bCs/>
        </w:rPr>
        <w:t xml:space="preserve">can GPs and LMCs be encouraged to adopt this? </w:t>
      </w:r>
      <w:r w:rsidR="009A56B0" w:rsidRPr="006221B6">
        <w:rPr>
          <w:b/>
          <w:bCs/>
        </w:rPr>
        <w:t>Most of the benefits in terms of improved cash flow go to the property companies, so are they in a position to liaise with the LMCs to encourage them?</w:t>
      </w:r>
      <w:r w:rsidR="00011514" w:rsidRPr="006221B6">
        <w:rPr>
          <w:b/>
          <w:bCs/>
        </w:rPr>
        <w:t xml:space="preserve"> </w:t>
      </w:r>
    </w:p>
    <w:p w14:paraId="754C8500" w14:textId="15E3B947" w:rsidR="00A11408" w:rsidRDefault="009654D8" w:rsidP="008B7914">
      <w:pPr>
        <w:pStyle w:val="NumberedBullets"/>
        <w:numPr>
          <w:ilvl w:val="0"/>
          <w:numId w:val="0"/>
        </w:numPr>
        <w:ind w:left="1080"/>
        <w:rPr>
          <w:color w:val="FF0000"/>
          <w:lang w:eastAsia="en-GB"/>
        </w:rPr>
      </w:pPr>
      <w:r>
        <w:t xml:space="preserve">The property companies would support the CCG in discussions with the LMCs and GPs </w:t>
      </w:r>
      <w:proofErr w:type="gramStart"/>
      <w:r>
        <w:t>in order to</w:t>
      </w:r>
      <w:proofErr w:type="gramEnd"/>
      <w:r>
        <w:t xml:space="preserve"> encourage adoption of the process.  </w:t>
      </w:r>
      <w:r w:rsidR="00F95EEA">
        <w:t>LMCs have generally been very supportive of Direct Payments</w:t>
      </w:r>
      <w:r w:rsidR="00DE7C15">
        <w:t xml:space="preserve"> as it </w:t>
      </w:r>
      <w:r w:rsidR="00524DBF">
        <w:t>reduces administrative workload on a GP</w:t>
      </w:r>
      <w:r w:rsidR="00F95EEA">
        <w:t xml:space="preserve">. </w:t>
      </w:r>
      <w:r w:rsidR="00524DBF">
        <w:t xml:space="preserve"> Dialogue with GPs and LMC is </w:t>
      </w:r>
      <w:proofErr w:type="gramStart"/>
      <w:r w:rsidR="00524DBF">
        <w:t>really important</w:t>
      </w:r>
      <w:proofErr w:type="gramEnd"/>
      <w:r w:rsidR="00524DBF">
        <w:t xml:space="preserve"> to explain the benefits</w:t>
      </w:r>
      <w:r w:rsidR="00A11408">
        <w:t xml:space="preserve"> to the GP and to the system more widely</w:t>
      </w:r>
      <w:r w:rsidR="00524DBF">
        <w:t>.</w:t>
      </w:r>
      <w:r w:rsidR="00A11408">
        <w:rPr>
          <w:color w:val="FF0000"/>
          <w:lang w:eastAsia="en-GB"/>
        </w:rPr>
        <w:t xml:space="preserve"> </w:t>
      </w:r>
      <w:r w:rsidR="00852E33" w:rsidRPr="000A539E">
        <w:rPr>
          <w:color w:val="000000" w:themeColor="text1"/>
          <w:lang w:eastAsia="en-GB"/>
        </w:rPr>
        <w:t>Feedback from practices who do now not have to admi</w:t>
      </w:r>
      <w:r w:rsidR="00852E33">
        <w:rPr>
          <w:color w:val="000000" w:themeColor="text1"/>
          <w:lang w:eastAsia="en-GB"/>
        </w:rPr>
        <w:t>ni</w:t>
      </w:r>
      <w:r w:rsidR="00852E33" w:rsidRPr="000A539E">
        <w:rPr>
          <w:color w:val="000000" w:themeColor="text1"/>
          <w:lang w:eastAsia="en-GB"/>
        </w:rPr>
        <w:t>ster claims has been overwhelmingly positive</w:t>
      </w:r>
      <w:r w:rsidR="00852E33">
        <w:rPr>
          <w:color w:val="000000" w:themeColor="text1"/>
          <w:lang w:eastAsia="en-GB"/>
        </w:rPr>
        <w:t>.</w:t>
      </w:r>
    </w:p>
    <w:p w14:paraId="3F24A9E9" w14:textId="77777777" w:rsidR="009E2A0B" w:rsidRDefault="009E2A0B" w:rsidP="008B7914">
      <w:pPr>
        <w:pStyle w:val="NumberedBullets"/>
        <w:numPr>
          <w:ilvl w:val="0"/>
          <w:numId w:val="0"/>
        </w:numPr>
        <w:ind w:left="1080"/>
      </w:pPr>
    </w:p>
    <w:p w14:paraId="381450BB" w14:textId="27F2E975" w:rsidR="00951ED8" w:rsidRPr="006221B6" w:rsidRDefault="009A56B0" w:rsidP="008B7914">
      <w:pPr>
        <w:pStyle w:val="NumberedBullets"/>
        <w:ind w:left="1080"/>
        <w:rPr>
          <w:b/>
          <w:bCs/>
        </w:rPr>
      </w:pPr>
      <w:r w:rsidRPr="006221B6">
        <w:rPr>
          <w:b/>
          <w:bCs/>
        </w:rPr>
        <w:t>Why would practices not want to have Direct Payments?</w:t>
      </w:r>
    </w:p>
    <w:p w14:paraId="17B28E93" w14:textId="7E9D9A98" w:rsidR="00951ED8" w:rsidRDefault="00951ED8" w:rsidP="008B7914">
      <w:pPr>
        <w:pStyle w:val="NumberedBullets"/>
        <w:numPr>
          <w:ilvl w:val="0"/>
          <w:numId w:val="0"/>
        </w:numPr>
        <w:ind w:left="1080"/>
      </w:pPr>
      <w:r>
        <w:t xml:space="preserve">Most GPs are very positive about the prospect of signing up to Direct Payments because ultimately it will reduce the administrative burden on them. However, if there is an occupancy dispute that is ongoing then they may not want to sign up to Direct Payments until this is resolved. Equally, if a GP is due to vacate in the next few months then they may not see the value in signing up for such a short time, and </w:t>
      </w:r>
      <w:proofErr w:type="gramStart"/>
      <w:r>
        <w:t>we’d</w:t>
      </w:r>
      <w:proofErr w:type="gramEnd"/>
      <w:r>
        <w:t xml:space="preserve"> look to then sign up the new tenant when they take occupancy of the premises.</w:t>
      </w:r>
    </w:p>
    <w:p w14:paraId="264C46E9" w14:textId="2B904E56" w:rsidR="009E2A0B" w:rsidRDefault="009E2A0B" w:rsidP="008B7914">
      <w:pPr>
        <w:pStyle w:val="NumberedBullets"/>
        <w:numPr>
          <w:ilvl w:val="0"/>
          <w:numId w:val="0"/>
        </w:numPr>
        <w:ind w:left="1080"/>
      </w:pPr>
    </w:p>
    <w:p w14:paraId="111B3687" w14:textId="71174717" w:rsidR="00852C68" w:rsidRPr="006221B6" w:rsidRDefault="00852C68" w:rsidP="008B7914">
      <w:pPr>
        <w:pStyle w:val="NumberedBullets"/>
        <w:ind w:left="1080"/>
        <w:rPr>
          <w:b/>
          <w:bCs/>
        </w:rPr>
      </w:pPr>
      <w:r w:rsidRPr="006221B6">
        <w:rPr>
          <w:b/>
          <w:bCs/>
        </w:rPr>
        <w:t>Who should we contact after this webinar if we have questions?</w:t>
      </w:r>
      <w:r w:rsidR="00011514" w:rsidRPr="006221B6">
        <w:rPr>
          <w:b/>
          <w:bCs/>
        </w:rPr>
        <w:t xml:space="preserve"> </w:t>
      </w:r>
    </w:p>
    <w:p w14:paraId="3118ECA6" w14:textId="385BD343" w:rsidR="00852C68" w:rsidRDefault="00852C68" w:rsidP="008B7914">
      <w:pPr>
        <w:pStyle w:val="NumberedBullets"/>
        <w:numPr>
          <w:ilvl w:val="0"/>
          <w:numId w:val="0"/>
        </w:numPr>
        <w:ind w:left="1080"/>
      </w:pPr>
      <w:r>
        <w:t xml:space="preserve">You can contact the speakers from the Direct Payments webinar if you have any questions or if </w:t>
      </w:r>
      <w:proofErr w:type="gramStart"/>
      <w:r>
        <w:t>you’d</w:t>
      </w:r>
      <w:proofErr w:type="gramEnd"/>
      <w:r>
        <w:t xml:space="preserve"> like more information. </w:t>
      </w:r>
      <w:r w:rsidR="00011514">
        <w:t xml:space="preserve"> </w:t>
      </w:r>
    </w:p>
    <w:p w14:paraId="7CB97054" w14:textId="77777777" w:rsidR="000A539E" w:rsidRDefault="000A539E" w:rsidP="008B7914">
      <w:pPr>
        <w:pStyle w:val="NumberedBullets"/>
        <w:numPr>
          <w:ilvl w:val="0"/>
          <w:numId w:val="0"/>
        </w:numPr>
        <w:ind w:left="1080"/>
      </w:pPr>
    </w:p>
    <w:p w14:paraId="1AEEC7DC" w14:textId="250F31DF" w:rsidR="00F95EEA" w:rsidRPr="006221B6" w:rsidRDefault="00852C68" w:rsidP="008B7914">
      <w:pPr>
        <w:pStyle w:val="NumberedBullets"/>
        <w:ind w:left="1080"/>
        <w:rPr>
          <w:b/>
          <w:bCs/>
        </w:rPr>
      </w:pPr>
      <w:r w:rsidRPr="006221B6">
        <w:rPr>
          <w:b/>
          <w:bCs/>
        </w:rPr>
        <w:t>If CCGs are using Direct Payments and paying against Annual Charging Schedules, what is the process for notifying the CCGs of any variances once the true-up has been calculated?</w:t>
      </w:r>
      <w:r w:rsidR="00011514" w:rsidRPr="006221B6">
        <w:rPr>
          <w:b/>
          <w:bCs/>
        </w:rPr>
        <w:t xml:space="preserve"> </w:t>
      </w:r>
    </w:p>
    <w:p w14:paraId="5AFC61C8" w14:textId="7E8DF05A" w:rsidR="00F95EEA" w:rsidRDefault="00951ED8" w:rsidP="008B7914">
      <w:pPr>
        <w:pStyle w:val="NumberedBullets"/>
        <w:numPr>
          <w:ilvl w:val="0"/>
          <w:numId w:val="0"/>
        </w:numPr>
        <w:ind w:left="1080"/>
      </w:pPr>
      <w:r>
        <w:t>Once we issue the true-up at the end of ever</w:t>
      </w:r>
      <w:r w:rsidR="0016349D">
        <w:t xml:space="preserve">y financial year, </w:t>
      </w:r>
      <w:r w:rsidR="006A63F6">
        <w:t xml:space="preserve">we would send any variances in rent, rates, </w:t>
      </w:r>
      <w:proofErr w:type="gramStart"/>
      <w:r w:rsidR="006A63F6">
        <w:t>water</w:t>
      </w:r>
      <w:proofErr w:type="gramEnd"/>
      <w:r w:rsidR="006A63F6">
        <w:t xml:space="preserve"> or clinical waste to the CCG so that they will be able to pay the property company </w:t>
      </w:r>
      <w:r w:rsidR="00F95EEA">
        <w:t>directly. We rarely see the rent figures change,</w:t>
      </w:r>
      <w:r w:rsidR="00524DBF">
        <w:t xml:space="preserve"> unless the space occupied has changed; it is </w:t>
      </w:r>
      <w:r w:rsidR="00F95EEA">
        <w:t xml:space="preserve">more </w:t>
      </w:r>
      <w:r w:rsidR="00524DBF">
        <w:t xml:space="preserve">likely to be against changes in variable costs such as </w:t>
      </w:r>
      <w:r w:rsidR="00F95EEA">
        <w:t>clinical waste</w:t>
      </w:r>
      <w:r w:rsidR="00524DBF">
        <w:t xml:space="preserve"> which change with usage and cannot be accurately predicted</w:t>
      </w:r>
      <w:r w:rsidR="00F95EEA">
        <w:t xml:space="preserve">. </w:t>
      </w:r>
    </w:p>
    <w:p w14:paraId="68841D6C" w14:textId="6700A499" w:rsidR="00951ED8" w:rsidRDefault="00F95EEA" w:rsidP="00C451B6">
      <w:pPr>
        <w:pStyle w:val="NumberedBullets"/>
        <w:numPr>
          <w:ilvl w:val="0"/>
          <w:numId w:val="0"/>
        </w:numPr>
        <w:ind w:left="1080"/>
      </w:pPr>
      <w:r>
        <w:t>As part of the onboarding process, we do note that once true-up is issued to the practices</w:t>
      </w:r>
      <w:r w:rsidR="006A63F6">
        <w:t xml:space="preserve"> </w:t>
      </w:r>
      <w:r>
        <w:t xml:space="preserve">that </w:t>
      </w:r>
      <w:proofErr w:type="gramStart"/>
      <w:r>
        <w:t>we’ll</w:t>
      </w:r>
      <w:proofErr w:type="gramEnd"/>
      <w:r>
        <w:t xml:space="preserve"> be in touch with the figures.</w:t>
      </w:r>
    </w:p>
    <w:p w14:paraId="709EC2B5" w14:textId="77777777" w:rsidR="009E2A0B" w:rsidRDefault="009E2A0B" w:rsidP="008B7914">
      <w:pPr>
        <w:pStyle w:val="NumberedBullets"/>
        <w:numPr>
          <w:ilvl w:val="0"/>
          <w:numId w:val="0"/>
        </w:numPr>
        <w:ind w:left="1080"/>
      </w:pPr>
    </w:p>
    <w:p w14:paraId="14DA12E0" w14:textId="63606605" w:rsidR="00F95EEA" w:rsidRPr="006221B6" w:rsidRDefault="00852C68" w:rsidP="008B7914">
      <w:pPr>
        <w:pStyle w:val="NumberedBullets"/>
        <w:ind w:left="1080"/>
        <w:rPr>
          <w:b/>
          <w:bCs/>
        </w:rPr>
      </w:pPr>
      <w:r w:rsidRPr="006221B6">
        <w:rPr>
          <w:b/>
          <w:bCs/>
        </w:rPr>
        <w:t>Will CCGs be provided with an aged debt report for affected practices before deciding whether to sign up to Direct Payments? CCGs are currently unaware of practices with aged debts to the property companies.</w:t>
      </w:r>
      <w:r w:rsidR="007D1BC6" w:rsidRPr="006221B6">
        <w:rPr>
          <w:b/>
          <w:bCs/>
        </w:rPr>
        <w:t xml:space="preserve">  </w:t>
      </w:r>
    </w:p>
    <w:p w14:paraId="287087B1" w14:textId="78C99051" w:rsidR="00EC36F8" w:rsidRDefault="00951ED8" w:rsidP="008B7914">
      <w:pPr>
        <w:pStyle w:val="NumberedBullets"/>
        <w:numPr>
          <w:ilvl w:val="0"/>
          <w:numId w:val="0"/>
        </w:numPr>
        <w:ind w:left="1080"/>
      </w:pPr>
      <w:r>
        <w:lastRenderedPageBreak/>
        <w:t xml:space="preserve">The property companies will </w:t>
      </w:r>
      <w:r w:rsidR="00524DBF">
        <w:t xml:space="preserve">happily </w:t>
      </w:r>
      <w:r>
        <w:t>engage with the CCGs to help them understand the impact of aged debt on affected practices</w:t>
      </w:r>
      <w:r w:rsidR="00524DBF">
        <w:t xml:space="preserve"> if they are not already aware or have concerns over a particular practice</w:t>
      </w:r>
      <w:r>
        <w:t xml:space="preserve">. </w:t>
      </w:r>
      <w:r w:rsidR="00EC36F8">
        <w:t xml:space="preserve"> </w:t>
      </w:r>
      <w:r w:rsidR="00EC36F8" w:rsidRPr="000A539E">
        <w:t>As part of the onboarding process</w:t>
      </w:r>
      <w:r w:rsidR="00431E52">
        <w:t>,</w:t>
      </w:r>
      <w:r w:rsidR="00EC36F8" w:rsidRPr="000A539E">
        <w:t xml:space="preserve"> NHSPS and CHP share the debt position of practices with the CCG, in some cases this has helped the CCG make the decision to onboard Direct Payments.</w:t>
      </w:r>
    </w:p>
    <w:p w14:paraId="3458D9A1" w14:textId="77777777" w:rsidR="000A539E" w:rsidRPr="00BE0D6F" w:rsidRDefault="000A539E" w:rsidP="008B7914">
      <w:pPr>
        <w:pStyle w:val="NumberedBullets"/>
        <w:numPr>
          <w:ilvl w:val="0"/>
          <w:numId w:val="0"/>
        </w:numPr>
        <w:ind w:left="1080" w:hanging="360"/>
        <w:rPr>
          <w:color w:val="FF0000"/>
        </w:rPr>
      </w:pPr>
    </w:p>
    <w:p w14:paraId="374F59CE" w14:textId="1AE9EF0C" w:rsidR="00852C68" w:rsidRPr="006221B6" w:rsidRDefault="00852C68" w:rsidP="008B7914">
      <w:pPr>
        <w:pStyle w:val="NumberedBullets"/>
        <w:ind w:left="1080"/>
        <w:rPr>
          <w:b/>
          <w:bCs/>
        </w:rPr>
      </w:pPr>
      <w:r w:rsidRPr="006221B6">
        <w:rPr>
          <w:b/>
          <w:bCs/>
        </w:rPr>
        <w:t xml:space="preserve">Could you explain the cash flow process? </w:t>
      </w:r>
    </w:p>
    <w:p w14:paraId="7600E839" w14:textId="69E23538" w:rsidR="009E2A0B" w:rsidRDefault="009E2A0B" w:rsidP="008B7914">
      <w:pPr>
        <w:pStyle w:val="NumberedBullets"/>
        <w:numPr>
          <w:ilvl w:val="0"/>
          <w:numId w:val="0"/>
        </w:numPr>
        <w:ind w:left="1080"/>
      </w:pPr>
      <w:r>
        <w:t xml:space="preserve">Instead of the cash being paid to GPs </w:t>
      </w:r>
      <w:r w:rsidR="00524DBF">
        <w:t xml:space="preserve">directly </w:t>
      </w:r>
      <w:r>
        <w:t xml:space="preserve">who would then pay </w:t>
      </w:r>
      <w:r w:rsidR="00524DBF">
        <w:t xml:space="preserve">this </w:t>
      </w:r>
      <w:r>
        <w:t xml:space="preserve">onto property companies, the Direct Payments process enables the CCGs to pay the </w:t>
      </w:r>
      <w:r w:rsidR="00524DBF">
        <w:t xml:space="preserve">funds to the </w:t>
      </w:r>
      <w:r>
        <w:t xml:space="preserve">property companies directly for reimbursable costs (rent, rates, </w:t>
      </w:r>
      <w:proofErr w:type="gramStart"/>
      <w:r>
        <w:t>water</w:t>
      </w:r>
      <w:proofErr w:type="gramEnd"/>
      <w:r>
        <w:t xml:space="preserve"> and clinical waste) on the GP practice’s behalf. </w:t>
      </w:r>
      <w:r w:rsidR="00852E33">
        <w:t xml:space="preserve">A transaction to pay and then remove the funds takes place on the GP account from the CCG so there is an audit </w:t>
      </w:r>
      <w:proofErr w:type="gramStart"/>
      <w:r w:rsidR="00852E33">
        <w:t>trail</w:t>
      </w:r>
      <w:proofErr w:type="gramEnd"/>
      <w:r w:rsidR="00852E33">
        <w:t xml:space="preserve"> and the turnover takes place on the GP’s books.</w:t>
      </w:r>
      <w:r w:rsidR="008B7914">
        <w:t xml:space="preserve"> The diagram below sets out the funds flow under the current process and under </w:t>
      </w:r>
      <w:r w:rsidR="00431E52">
        <w:t>D</w:t>
      </w:r>
      <w:r w:rsidR="008B7914">
        <w:t xml:space="preserve">irect </w:t>
      </w:r>
      <w:r w:rsidR="00431E52">
        <w:t>P</w:t>
      </w:r>
      <w:r w:rsidR="008B7914">
        <w:t>ayments.</w:t>
      </w:r>
    </w:p>
    <w:p w14:paraId="7F355FC9" w14:textId="3DA89D47" w:rsidR="00524DBF" w:rsidRDefault="00524DBF" w:rsidP="008B7914">
      <w:pPr>
        <w:pStyle w:val="NumberedBullets"/>
        <w:numPr>
          <w:ilvl w:val="0"/>
          <w:numId w:val="0"/>
        </w:numPr>
        <w:ind w:left="1080"/>
      </w:pPr>
    </w:p>
    <w:p w14:paraId="10189D91" w14:textId="0ECF0E5C" w:rsidR="008B7914" w:rsidRDefault="008B7914" w:rsidP="008B7914">
      <w:pPr>
        <w:pStyle w:val="NumberedBullets"/>
        <w:numPr>
          <w:ilvl w:val="0"/>
          <w:numId w:val="0"/>
        </w:numPr>
        <w:ind w:left="720"/>
      </w:pPr>
      <w:r>
        <w:rPr>
          <w:noProof/>
        </w:rPr>
        <w:drawing>
          <wp:inline distT="0" distB="0" distL="0" distR="0" wp14:anchorId="2D6D8A2C" wp14:editId="555A5C24">
            <wp:extent cx="5293494" cy="314490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408" cy="3166244"/>
                    </a:xfrm>
                    <a:prstGeom prst="rect">
                      <a:avLst/>
                    </a:prstGeom>
                    <a:noFill/>
                  </pic:spPr>
                </pic:pic>
              </a:graphicData>
            </a:graphic>
          </wp:inline>
        </w:drawing>
      </w:r>
    </w:p>
    <w:p w14:paraId="29D5FE80" w14:textId="77777777" w:rsidR="009E2A0B" w:rsidRDefault="009E2A0B" w:rsidP="008B7914">
      <w:pPr>
        <w:pStyle w:val="NumberedBullets"/>
        <w:numPr>
          <w:ilvl w:val="0"/>
          <w:numId w:val="0"/>
        </w:numPr>
        <w:ind w:left="1080"/>
      </w:pPr>
    </w:p>
    <w:p w14:paraId="26E3F659" w14:textId="40AC3765" w:rsidR="00852C68" w:rsidRPr="006221B6" w:rsidRDefault="00852C68" w:rsidP="008B7914">
      <w:pPr>
        <w:pStyle w:val="NumberedBullets"/>
        <w:ind w:left="1080"/>
        <w:rPr>
          <w:b/>
          <w:bCs/>
        </w:rPr>
      </w:pPr>
      <w:r w:rsidRPr="006221B6">
        <w:rPr>
          <w:b/>
          <w:bCs/>
        </w:rPr>
        <w:t xml:space="preserve">Why </w:t>
      </w:r>
      <w:proofErr w:type="gramStart"/>
      <w:r w:rsidRPr="006221B6">
        <w:rPr>
          <w:b/>
          <w:bCs/>
        </w:rPr>
        <w:t>can’t</w:t>
      </w:r>
      <w:proofErr w:type="gramEnd"/>
      <w:r w:rsidRPr="006221B6">
        <w:rPr>
          <w:b/>
          <w:bCs/>
        </w:rPr>
        <w:t xml:space="preserve"> cash go straight to the property companies?</w:t>
      </w:r>
    </w:p>
    <w:p w14:paraId="36637DFC" w14:textId="3D5C5FE8" w:rsidR="00852C68" w:rsidRDefault="00852C68" w:rsidP="008B7914">
      <w:pPr>
        <w:pStyle w:val="NumberedBullets"/>
        <w:numPr>
          <w:ilvl w:val="0"/>
          <w:numId w:val="0"/>
        </w:numPr>
        <w:ind w:left="1080"/>
      </w:pPr>
      <w:r>
        <w:t>It can, but the Premises Cost Directions require that the GP agrees to this, which is done by the Section 52 letter.</w:t>
      </w:r>
    </w:p>
    <w:p w14:paraId="674301AB" w14:textId="77777777" w:rsidR="009E2A0B" w:rsidRDefault="009E2A0B" w:rsidP="008B7914">
      <w:pPr>
        <w:pStyle w:val="NumberedBullets"/>
        <w:numPr>
          <w:ilvl w:val="0"/>
          <w:numId w:val="0"/>
        </w:numPr>
        <w:ind w:left="1080"/>
      </w:pPr>
    </w:p>
    <w:p w14:paraId="72B66BB8" w14:textId="79D1655C" w:rsidR="00852C68" w:rsidRPr="006221B6" w:rsidRDefault="00852C68" w:rsidP="008B7914">
      <w:pPr>
        <w:pStyle w:val="NumberedBullets"/>
        <w:ind w:left="1080"/>
        <w:rPr>
          <w:b/>
          <w:bCs/>
        </w:rPr>
      </w:pPr>
      <w:r w:rsidRPr="006221B6">
        <w:rPr>
          <w:b/>
          <w:bCs/>
        </w:rPr>
        <w:t>How do we cope with an NHS England staff member who is blocking Direct Payments because it is “not mandatory”?</w:t>
      </w:r>
      <w:r w:rsidR="007D1BC6" w:rsidRPr="006221B6">
        <w:rPr>
          <w:b/>
          <w:bCs/>
        </w:rPr>
        <w:t xml:space="preserve"> </w:t>
      </w:r>
    </w:p>
    <w:p w14:paraId="7BCE834B" w14:textId="2225015D" w:rsidR="00F95EEA" w:rsidRDefault="00F95EEA" w:rsidP="008B7914">
      <w:pPr>
        <w:pStyle w:val="NumberedBullets"/>
        <w:numPr>
          <w:ilvl w:val="0"/>
          <w:numId w:val="0"/>
        </w:numPr>
        <w:ind w:left="1080"/>
      </w:pPr>
      <w:r>
        <w:t xml:space="preserve">Please get in touch with Adrian </w:t>
      </w:r>
      <w:proofErr w:type="spellStart"/>
      <w:r>
        <w:t>Snarr</w:t>
      </w:r>
      <w:proofErr w:type="spellEnd"/>
      <w:r>
        <w:t xml:space="preserve"> at NHS England who will be able to support</w:t>
      </w:r>
      <w:r w:rsidR="00A11408">
        <w:t xml:space="preserve">. </w:t>
      </w:r>
      <w:r w:rsidR="007D1BC6">
        <w:t xml:space="preserve"> </w:t>
      </w:r>
      <w:r w:rsidR="00A11408">
        <w:t>T</w:t>
      </w:r>
      <w:r w:rsidR="007D1BC6">
        <w:t>he initiative is being supported by Emily Lawson, National Director</w:t>
      </w:r>
      <w:r w:rsidR="00431E52">
        <w:t xml:space="preserve"> at</w:t>
      </w:r>
      <w:r w:rsidR="007D1BC6">
        <w:t xml:space="preserve"> NHSE&amp;I</w:t>
      </w:r>
      <w:r w:rsidR="00431E52">
        <w:t>.</w:t>
      </w:r>
      <w:r>
        <w:t xml:space="preserve"> </w:t>
      </w:r>
    </w:p>
    <w:sectPr w:rsidR="00F95EEA" w:rsidSect="005D5476">
      <w:headerReference w:type="default" r:id="rId16"/>
      <w:footerReference w:type="default" r:id="rId17"/>
      <w:headerReference w:type="first" r:id="rId18"/>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7E868" w14:textId="77777777" w:rsidR="006B24EF" w:rsidRDefault="006B24EF" w:rsidP="00DD34EE">
      <w:r>
        <w:separator/>
      </w:r>
    </w:p>
  </w:endnote>
  <w:endnote w:type="continuationSeparator" w:id="0">
    <w:p w14:paraId="7CB626A3" w14:textId="77777777" w:rsidR="006B24EF" w:rsidRDefault="006B24EF" w:rsidP="00DD3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14452920"/>
      <w:docPartObj>
        <w:docPartGallery w:val="Page Numbers (Bottom of Page)"/>
        <w:docPartUnique/>
      </w:docPartObj>
    </w:sdtPr>
    <w:sdtEndPr>
      <w:rPr>
        <w:noProof/>
        <w:color w:val="477FBF" w:themeColor="background2"/>
      </w:rPr>
    </w:sdtEndPr>
    <w:sdtContent>
      <w:p w14:paraId="3D14A3EC" w14:textId="77777777" w:rsidR="00431E52" w:rsidRPr="00126BB8" w:rsidRDefault="00431E52" w:rsidP="00126BB8">
        <w:pPr>
          <w:pStyle w:val="Footer"/>
          <w:jc w:val="right"/>
          <w:rPr>
            <w:color w:val="477FBF" w:themeColor="background2"/>
            <w:sz w:val="20"/>
            <w:szCs w:val="20"/>
          </w:rPr>
        </w:pPr>
        <w:r w:rsidRPr="00126BB8">
          <w:rPr>
            <w:sz w:val="20"/>
            <w:szCs w:val="20"/>
          </w:rPr>
          <w:t xml:space="preserve">Page | </w:t>
        </w:r>
        <w:r w:rsidRPr="00126BB8">
          <w:rPr>
            <w:color w:val="477FBF" w:themeColor="background2"/>
            <w:sz w:val="20"/>
            <w:szCs w:val="20"/>
          </w:rPr>
          <w:fldChar w:fldCharType="begin"/>
        </w:r>
        <w:r w:rsidRPr="00126BB8">
          <w:rPr>
            <w:color w:val="477FBF" w:themeColor="background2"/>
            <w:sz w:val="20"/>
            <w:szCs w:val="20"/>
          </w:rPr>
          <w:instrText xml:space="preserve"> PAGE   \* MERGEFORMAT </w:instrText>
        </w:r>
        <w:r w:rsidRPr="00126BB8">
          <w:rPr>
            <w:color w:val="477FBF" w:themeColor="background2"/>
            <w:sz w:val="20"/>
            <w:szCs w:val="20"/>
          </w:rPr>
          <w:fldChar w:fldCharType="separate"/>
        </w:r>
        <w:r w:rsidRPr="00126BB8">
          <w:rPr>
            <w:noProof/>
            <w:color w:val="477FBF" w:themeColor="background2"/>
            <w:sz w:val="20"/>
            <w:szCs w:val="20"/>
          </w:rPr>
          <w:t>2</w:t>
        </w:r>
        <w:r w:rsidRPr="00126BB8">
          <w:rPr>
            <w:noProof/>
            <w:color w:val="477FBF" w:themeColor="background2"/>
            <w:sz w:val="20"/>
            <w:szCs w:val="20"/>
          </w:rPr>
          <w:fldChar w:fldCharType="end"/>
        </w:r>
      </w:p>
    </w:sdtContent>
  </w:sdt>
  <w:p w14:paraId="5BE157B8" w14:textId="77777777" w:rsidR="00431E52" w:rsidRPr="00126BB8" w:rsidRDefault="00431E52" w:rsidP="00126BB8">
    <w:pPr>
      <w:pStyle w:val="Footer"/>
      <w:tabs>
        <w:tab w:val="left" w:pos="6000"/>
      </w:tabs>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713DF" w14:textId="77777777" w:rsidR="006B24EF" w:rsidRDefault="006B24EF" w:rsidP="00DD34EE">
      <w:r>
        <w:separator/>
      </w:r>
    </w:p>
  </w:footnote>
  <w:footnote w:type="continuationSeparator" w:id="0">
    <w:p w14:paraId="62E3C3B3" w14:textId="77777777" w:rsidR="006B24EF" w:rsidRDefault="006B24EF" w:rsidP="00DD3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2F86" w14:textId="77777777" w:rsidR="00431E52" w:rsidRDefault="00431E52" w:rsidP="00F2074E">
    <w:pPr>
      <w:pStyle w:val="Header"/>
      <w:rPr>
        <w:b/>
        <w:noProof/>
        <w:sz w:val="24"/>
        <w:szCs w:val="24"/>
        <w:lang w:eastAsia="en-GB"/>
      </w:rPr>
    </w:pPr>
    <w:r>
      <w:rPr>
        <w:b/>
        <w:noProof/>
        <w:sz w:val="24"/>
        <w:szCs w:val="24"/>
        <w:lang w:eastAsia="en-GB"/>
      </w:rPr>
      <w:drawing>
        <wp:anchor distT="0" distB="0" distL="114300" distR="114300" simplePos="0" relativeHeight="251666432" behindDoc="0" locked="0" layoutInCell="1" allowOverlap="1" wp14:anchorId="335790A2" wp14:editId="4154557E">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FBCA3" w14:textId="77777777" w:rsidR="00431E52" w:rsidRDefault="00431E52">
    <w:pPr>
      <w:pStyle w:val="Header"/>
    </w:pPr>
    <w:r>
      <w:rPr>
        <w:noProof/>
      </w:rPr>
      <w:drawing>
        <wp:anchor distT="0" distB="0" distL="114300" distR="114300" simplePos="0" relativeHeight="251670528" behindDoc="0" locked="0" layoutInCell="1" allowOverlap="1" wp14:anchorId="5B6096EB" wp14:editId="238A8E8A">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n-GB"/>
      </w:rPr>
      <w:drawing>
        <wp:anchor distT="0" distB="0" distL="114300" distR="114300" simplePos="0" relativeHeight="251668480" behindDoc="0" locked="0" layoutInCell="1" allowOverlap="1" wp14:anchorId="158AFD75" wp14:editId="102A2342">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462C97A0"/>
    <w:lvl w:ilvl="0" w:tplc="3B32738E">
      <w:start w:val="1"/>
      <w:numFmt w:val="decimal"/>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80B5A04"/>
    <w:multiLevelType w:val="hybridMultilevel"/>
    <w:tmpl w:val="B6DA5F32"/>
    <w:lvl w:ilvl="0" w:tplc="8BCC8044">
      <w:start w:val="1"/>
      <w:numFmt w:val="decimal"/>
      <w:pStyle w:val="Numbered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6"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4"/>
  </w:num>
  <w:num w:numId="3">
    <w:abstractNumId w:val="19"/>
  </w:num>
  <w:num w:numId="4">
    <w:abstractNumId w:val="13"/>
  </w:num>
  <w:num w:numId="5">
    <w:abstractNumId w:val="1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7"/>
  </w:num>
  <w:num w:numId="12">
    <w:abstractNumId w:val="11"/>
  </w:num>
  <w:num w:numId="13">
    <w:abstractNumId w:val="18"/>
  </w:num>
  <w:num w:numId="14">
    <w:abstractNumId w:val="4"/>
  </w:num>
  <w:num w:numId="15">
    <w:abstractNumId w:val="8"/>
  </w:num>
  <w:num w:numId="16">
    <w:abstractNumId w:val="2"/>
  </w:num>
  <w:num w:numId="17">
    <w:abstractNumId w:val="16"/>
  </w:num>
  <w:num w:numId="18">
    <w:abstractNumId w:val="1"/>
  </w:num>
  <w:num w:numId="19">
    <w:abstractNumId w:val="0"/>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10D"/>
    <w:rsid w:val="00011514"/>
    <w:rsid w:val="0002251D"/>
    <w:rsid w:val="000458A7"/>
    <w:rsid w:val="00084B3C"/>
    <w:rsid w:val="000861FD"/>
    <w:rsid w:val="000867CA"/>
    <w:rsid w:val="000A539E"/>
    <w:rsid w:val="000A6DB7"/>
    <w:rsid w:val="000B4E6F"/>
    <w:rsid w:val="000C22F8"/>
    <w:rsid w:val="000C674A"/>
    <w:rsid w:val="000D6685"/>
    <w:rsid w:val="000F5C67"/>
    <w:rsid w:val="001247C4"/>
    <w:rsid w:val="00126BB8"/>
    <w:rsid w:val="001417D6"/>
    <w:rsid w:val="001509E4"/>
    <w:rsid w:val="0016349D"/>
    <w:rsid w:val="0016465C"/>
    <w:rsid w:val="00164EDF"/>
    <w:rsid w:val="001710FB"/>
    <w:rsid w:val="0017551B"/>
    <w:rsid w:val="001A44EF"/>
    <w:rsid w:val="001B5CC8"/>
    <w:rsid w:val="001C35B8"/>
    <w:rsid w:val="001D3147"/>
    <w:rsid w:val="001F57A8"/>
    <w:rsid w:val="00205CE3"/>
    <w:rsid w:val="002145A9"/>
    <w:rsid w:val="002155F2"/>
    <w:rsid w:val="00221E2B"/>
    <w:rsid w:val="002229EE"/>
    <w:rsid w:val="002309AE"/>
    <w:rsid w:val="00253AEE"/>
    <w:rsid w:val="00263939"/>
    <w:rsid w:val="00265D65"/>
    <w:rsid w:val="00284A66"/>
    <w:rsid w:val="00290CBB"/>
    <w:rsid w:val="00292F08"/>
    <w:rsid w:val="002B3DD8"/>
    <w:rsid w:val="002B4ED8"/>
    <w:rsid w:val="002C0042"/>
    <w:rsid w:val="002C2322"/>
    <w:rsid w:val="003051FB"/>
    <w:rsid w:val="00342389"/>
    <w:rsid w:val="00375DD1"/>
    <w:rsid w:val="0039231A"/>
    <w:rsid w:val="00393D01"/>
    <w:rsid w:val="00394A7B"/>
    <w:rsid w:val="003E7806"/>
    <w:rsid w:val="003F54A3"/>
    <w:rsid w:val="00402F5E"/>
    <w:rsid w:val="00407ADB"/>
    <w:rsid w:val="0042485E"/>
    <w:rsid w:val="00431E52"/>
    <w:rsid w:val="004436C1"/>
    <w:rsid w:val="00492D9E"/>
    <w:rsid w:val="004B4CC6"/>
    <w:rsid w:val="004C5E14"/>
    <w:rsid w:val="004D4047"/>
    <w:rsid w:val="004E7684"/>
    <w:rsid w:val="004F4074"/>
    <w:rsid w:val="004F5BCC"/>
    <w:rsid w:val="00524DBF"/>
    <w:rsid w:val="00535F82"/>
    <w:rsid w:val="00570060"/>
    <w:rsid w:val="00585061"/>
    <w:rsid w:val="005B6D76"/>
    <w:rsid w:val="005D5476"/>
    <w:rsid w:val="005E1781"/>
    <w:rsid w:val="005F4CF5"/>
    <w:rsid w:val="006221B6"/>
    <w:rsid w:val="006345AE"/>
    <w:rsid w:val="00656E2E"/>
    <w:rsid w:val="00661EA0"/>
    <w:rsid w:val="00684457"/>
    <w:rsid w:val="0069296C"/>
    <w:rsid w:val="006964AA"/>
    <w:rsid w:val="006A63F6"/>
    <w:rsid w:val="006A6B77"/>
    <w:rsid w:val="006B24EF"/>
    <w:rsid w:val="006C151F"/>
    <w:rsid w:val="006D47BD"/>
    <w:rsid w:val="006D56A7"/>
    <w:rsid w:val="006F09A7"/>
    <w:rsid w:val="007002C5"/>
    <w:rsid w:val="00705844"/>
    <w:rsid w:val="0071789F"/>
    <w:rsid w:val="00723EE3"/>
    <w:rsid w:val="0072412A"/>
    <w:rsid w:val="00726426"/>
    <w:rsid w:val="007310B7"/>
    <w:rsid w:val="0074148A"/>
    <w:rsid w:val="00752F98"/>
    <w:rsid w:val="00771D82"/>
    <w:rsid w:val="00772A7C"/>
    <w:rsid w:val="00794887"/>
    <w:rsid w:val="00794B5A"/>
    <w:rsid w:val="007976E6"/>
    <w:rsid w:val="007A4E1B"/>
    <w:rsid w:val="007B2694"/>
    <w:rsid w:val="007D1BC6"/>
    <w:rsid w:val="007D7354"/>
    <w:rsid w:val="00820078"/>
    <w:rsid w:val="008249BF"/>
    <w:rsid w:val="008309C5"/>
    <w:rsid w:val="00834245"/>
    <w:rsid w:val="0084515B"/>
    <w:rsid w:val="00852C68"/>
    <w:rsid w:val="00852E33"/>
    <w:rsid w:val="00861BA5"/>
    <w:rsid w:val="00874100"/>
    <w:rsid w:val="00880BBA"/>
    <w:rsid w:val="00887BC4"/>
    <w:rsid w:val="00894C5F"/>
    <w:rsid w:val="008A0E61"/>
    <w:rsid w:val="008A708B"/>
    <w:rsid w:val="008B1F6B"/>
    <w:rsid w:val="008B74C3"/>
    <w:rsid w:val="008B7914"/>
    <w:rsid w:val="008C2DD2"/>
    <w:rsid w:val="008C62D1"/>
    <w:rsid w:val="008D1B05"/>
    <w:rsid w:val="008E56A4"/>
    <w:rsid w:val="00951ED8"/>
    <w:rsid w:val="0096243C"/>
    <w:rsid w:val="009654D8"/>
    <w:rsid w:val="00981569"/>
    <w:rsid w:val="009A56B0"/>
    <w:rsid w:val="009C1119"/>
    <w:rsid w:val="009D26EE"/>
    <w:rsid w:val="009E2A0B"/>
    <w:rsid w:val="00A11408"/>
    <w:rsid w:val="00A13995"/>
    <w:rsid w:val="00A16620"/>
    <w:rsid w:val="00A17CC0"/>
    <w:rsid w:val="00A40B1A"/>
    <w:rsid w:val="00A4778D"/>
    <w:rsid w:val="00A76920"/>
    <w:rsid w:val="00A8252B"/>
    <w:rsid w:val="00AB4F05"/>
    <w:rsid w:val="00AB51E5"/>
    <w:rsid w:val="00AB55A6"/>
    <w:rsid w:val="00AB684F"/>
    <w:rsid w:val="00AE301A"/>
    <w:rsid w:val="00B10F67"/>
    <w:rsid w:val="00B17C6F"/>
    <w:rsid w:val="00B22DD6"/>
    <w:rsid w:val="00B24E0A"/>
    <w:rsid w:val="00B250C7"/>
    <w:rsid w:val="00B267DF"/>
    <w:rsid w:val="00B27994"/>
    <w:rsid w:val="00B428EA"/>
    <w:rsid w:val="00B52EAF"/>
    <w:rsid w:val="00B57560"/>
    <w:rsid w:val="00BA477A"/>
    <w:rsid w:val="00BA4E7E"/>
    <w:rsid w:val="00BA6801"/>
    <w:rsid w:val="00BB5D2D"/>
    <w:rsid w:val="00BE5D16"/>
    <w:rsid w:val="00C12906"/>
    <w:rsid w:val="00C14F0B"/>
    <w:rsid w:val="00C20A09"/>
    <w:rsid w:val="00C255A5"/>
    <w:rsid w:val="00C340E4"/>
    <w:rsid w:val="00C440D2"/>
    <w:rsid w:val="00C451B6"/>
    <w:rsid w:val="00CA2020"/>
    <w:rsid w:val="00CA4751"/>
    <w:rsid w:val="00CC7694"/>
    <w:rsid w:val="00CD422F"/>
    <w:rsid w:val="00CE42A3"/>
    <w:rsid w:val="00D32449"/>
    <w:rsid w:val="00D37496"/>
    <w:rsid w:val="00D536EF"/>
    <w:rsid w:val="00D64223"/>
    <w:rsid w:val="00D77CF7"/>
    <w:rsid w:val="00D80B40"/>
    <w:rsid w:val="00D90702"/>
    <w:rsid w:val="00DC7F7A"/>
    <w:rsid w:val="00DD34EE"/>
    <w:rsid w:val="00DD5BB0"/>
    <w:rsid w:val="00DE7C15"/>
    <w:rsid w:val="00DF7A2A"/>
    <w:rsid w:val="00E00BF6"/>
    <w:rsid w:val="00E1074F"/>
    <w:rsid w:val="00E1079B"/>
    <w:rsid w:val="00E31255"/>
    <w:rsid w:val="00E41EB1"/>
    <w:rsid w:val="00E4749A"/>
    <w:rsid w:val="00E50F2F"/>
    <w:rsid w:val="00E73081"/>
    <w:rsid w:val="00E844EF"/>
    <w:rsid w:val="00E95860"/>
    <w:rsid w:val="00EA0522"/>
    <w:rsid w:val="00EA41F8"/>
    <w:rsid w:val="00EB36E8"/>
    <w:rsid w:val="00EC36F8"/>
    <w:rsid w:val="00F2074E"/>
    <w:rsid w:val="00F24329"/>
    <w:rsid w:val="00F345AD"/>
    <w:rsid w:val="00F45CBF"/>
    <w:rsid w:val="00F5383D"/>
    <w:rsid w:val="00F64010"/>
    <w:rsid w:val="00F73C83"/>
    <w:rsid w:val="00F85B98"/>
    <w:rsid w:val="00F9310D"/>
    <w:rsid w:val="00F95EEA"/>
    <w:rsid w:val="00F9796B"/>
    <w:rsid w:val="00FA07DE"/>
    <w:rsid w:val="00FA07EA"/>
    <w:rsid w:val="00FB6C6A"/>
    <w:rsid w:val="00FC722E"/>
    <w:rsid w:val="00FD51B8"/>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A6177"/>
  <w15:docId w15:val="{5427A8D3-20D8-4A69-8E52-2F67F256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5CB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72"/>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A539E"/>
    <w:pPr>
      <w:numPr>
        <w:numId w:val="20"/>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0A539E"/>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paragraph" w:customStyle="1" w:styleId="paragraph">
    <w:name w:val="paragraph"/>
    <w:basedOn w:val="Normal"/>
    <w:rsid w:val="001D314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D3147"/>
  </w:style>
  <w:style w:type="character" w:customStyle="1" w:styleId="eop">
    <w:name w:val="eop"/>
    <w:basedOn w:val="DefaultParagraphFont"/>
    <w:rsid w:val="001D3147"/>
  </w:style>
  <w:style w:type="character" w:styleId="CommentReference">
    <w:name w:val="annotation reference"/>
    <w:basedOn w:val="DefaultParagraphFont"/>
    <w:uiPriority w:val="99"/>
    <w:semiHidden/>
    <w:unhideWhenUsed/>
    <w:rsid w:val="000C674A"/>
    <w:rPr>
      <w:sz w:val="16"/>
      <w:szCs w:val="16"/>
    </w:rPr>
  </w:style>
  <w:style w:type="paragraph" w:styleId="CommentText">
    <w:name w:val="annotation text"/>
    <w:basedOn w:val="Normal"/>
    <w:link w:val="CommentTextChar"/>
    <w:uiPriority w:val="99"/>
    <w:semiHidden/>
    <w:unhideWhenUsed/>
    <w:rsid w:val="000C674A"/>
    <w:rPr>
      <w:sz w:val="20"/>
      <w:szCs w:val="20"/>
    </w:rPr>
  </w:style>
  <w:style w:type="character" w:customStyle="1" w:styleId="CommentTextChar">
    <w:name w:val="Comment Text Char"/>
    <w:basedOn w:val="DefaultParagraphFont"/>
    <w:link w:val="CommentText"/>
    <w:uiPriority w:val="99"/>
    <w:semiHidden/>
    <w:rsid w:val="000C674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C674A"/>
    <w:rPr>
      <w:b/>
      <w:bCs/>
    </w:rPr>
  </w:style>
  <w:style w:type="character" w:customStyle="1" w:styleId="CommentSubjectChar">
    <w:name w:val="Comment Subject Char"/>
    <w:basedOn w:val="CommentTextChar"/>
    <w:link w:val="CommentSubject"/>
    <w:uiPriority w:val="99"/>
    <w:semiHidden/>
    <w:rsid w:val="000C674A"/>
    <w:rPr>
      <w:rFonts w:ascii="Calibri" w:hAnsi="Calibri" w:cs="Calibri"/>
      <w:b/>
      <w:bCs/>
      <w:sz w:val="20"/>
      <w:szCs w:val="20"/>
    </w:rPr>
  </w:style>
  <w:style w:type="paragraph" w:styleId="Revision">
    <w:name w:val="Revision"/>
    <w:hidden/>
    <w:uiPriority w:val="99"/>
    <w:semiHidden/>
    <w:rsid w:val="00852E3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98633">
      <w:bodyDiv w:val="1"/>
      <w:marLeft w:val="0"/>
      <w:marRight w:val="0"/>
      <w:marTop w:val="0"/>
      <w:marBottom w:val="0"/>
      <w:divBdr>
        <w:top w:val="none" w:sz="0" w:space="0" w:color="auto"/>
        <w:left w:val="none" w:sz="0" w:space="0" w:color="auto"/>
        <w:bottom w:val="none" w:sz="0" w:space="0" w:color="auto"/>
        <w:right w:val="none" w:sz="0" w:space="0" w:color="auto"/>
      </w:divBdr>
    </w:div>
    <w:div w:id="169637962">
      <w:bodyDiv w:val="1"/>
      <w:marLeft w:val="0"/>
      <w:marRight w:val="0"/>
      <w:marTop w:val="0"/>
      <w:marBottom w:val="0"/>
      <w:divBdr>
        <w:top w:val="none" w:sz="0" w:space="0" w:color="auto"/>
        <w:left w:val="none" w:sz="0" w:space="0" w:color="auto"/>
        <w:bottom w:val="none" w:sz="0" w:space="0" w:color="auto"/>
        <w:right w:val="none" w:sz="0" w:space="0" w:color="auto"/>
      </w:divBdr>
    </w:div>
    <w:div w:id="273438129">
      <w:bodyDiv w:val="1"/>
      <w:marLeft w:val="0"/>
      <w:marRight w:val="0"/>
      <w:marTop w:val="0"/>
      <w:marBottom w:val="0"/>
      <w:divBdr>
        <w:top w:val="none" w:sz="0" w:space="0" w:color="auto"/>
        <w:left w:val="none" w:sz="0" w:space="0" w:color="auto"/>
        <w:bottom w:val="none" w:sz="0" w:space="0" w:color="auto"/>
        <w:right w:val="none" w:sz="0" w:space="0" w:color="auto"/>
      </w:divBdr>
    </w:div>
    <w:div w:id="292297762">
      <w:bodyDiv w:val="1"/>
      <w:marLeft w:val="0"/>
      <w:marRight w:val="0"/>
      <w:marTop w:val="0"/>
      <w:marBottom w:val="0"/>
      <w:divBdr>
        <w:top w:val="none" w:sz="0" w:space="0" w:color="auto"/>
        <w:left w:val="none" w:sz="0" w:space="0" w:color="auto"/>
        <w:bottom w:val="none" w:sz="0" w:space="0" w:color="auto"/>
        <w:right w:val="none" w:sz="0" w:space="0" w:color="auto"/>
      </w:divBdr>
    </w:div>
    <w:div w:id="303966991">
      <w:bodyDiv w:val="1"/>
      <w:marLeft w:val="0"/>
      <w:marRight w:val="0"/>
      <w:marTop w:val="0"/>
      <w:marBottom w:val="0"/>
      <w:divBdr>
        <w:top w:val="none" w:sz="0" w:space="0" w:color="auto"/>
        <w:left w:val="none" w:sz="0" w:space="0" w:color="auto"/>
        <w:bottom w:val="none" w:sz="0" w:space="0" w:color="auto"/>
        <w:right w:val="none" w:sz="0" w:space="0" w:color="auto"/>
      </w:divBdr>
    </w:div>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 w:id="79888783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102333304">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1116099821">
              <w:marLeft w:val="0"/>
              <w:marRight w:val="0"/>
              <w:marTop w:val="0"/>
              <w:marBottom w:val="0"/>
              <w:divBdr>
                <w:top w:val="none" w:sz="0" w:space="0" w:color="auto"/>
                <w:left w:val="none" w:sz="0" w:space="0" w:color="auto"/>
                <w:bottom w:val="none" w:sz="0" w:space="0" w:color="auto"/>
                <w:right w:val="none" w:sz="0" w:space="0" w:color="auto"/>
              </w:divBdr>
            </w:div>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 w:id="28273735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 w:id="150412462">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 w:id="64383544">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67227065">
      <w:bodyDiv w:val="1"/>
      <w:marLeft w:val="0"/>
      <w:marRight w:val="0"/>
      <w:marTop w:val="0"/>
      <w:marBottom w:val="0"/>
      <w:divBdr>
        <w:top w:val="none" w:sz="0" w:space="0" w:color="auto"/>
        <w:left w:val="none" w:sz="0" w:space="0" w:color="auto"/>
        <w:bottom w:val="none" w:sz="0" w:space="0" w:color="auto"/>
        <w:right w:val="none" w:sz="0" w:space="0" w:color="auto"/>
      </w:divBdr>
      <w:divsChild>
        <w:div w:id="804465151">
          <w:marLeft w:val="0"/>
          <w:marRight w:val="0"/>
          <w:marTop w:val="0"/>
          <w:marBottom w:val="0"/>
          <w:divBdr>
            <w:top w:val="none" w:sz="0" w:space="0" w:color="auto"/>
            <w:left w:val="none" w:sz="0" w:space="0" w:color="auto"/>
            <w:bottom w:val="none" w:sz="0" w:space="0" w:color="auto"/>
            <w:right w:val="none" w:sz="0" w:space="0" w:color="auto"/>
          </w:divBdr>
        </w:div>
        <w:div w:id="778330837">
          <w:marLeft w:val="0"/>
          <w:marRight w:val="0"/>
          <w:marTop w:val="0"/>
          <w:marBottom w:val="0"/>
          <w:divBdr>
            <w:top w:val="none" w:sz="0" w:space="0" w:color="auto"/>
            <w:left w:val="none" w:sz="0" w:space="0" w:color="auto"/>
            <w:bottom w:val="none" w:sz="0" w:space="0" w:color="auto"/>
            <w:right w:val="none" w:sz="0" w:space="0" w:color="auto"/>
          </w:divBdr>
        </w:div>
        <w:div w:id="889457016">
          <w:marLeft w:val="0"/>
          <w:marRight w:val="0"/>
          <w:marTop w:val="0"/>
          <w:marBottom w:val="0"/>
          <w:divBdr>
            <w:top w:val="none" w:sz="0" w:space="0" w:color="auto"/>
            <w:left w:val="none" w:sz="0" w:space="0" w:color="auto"/>
            <w:bottom w:val="none" w:sz="0" w:space="0" w:color="auto"/>
            <w:right w:val="none" w:sz="0" w:space="0" w:color="auto"/>
          </w:divBdr>
        </w:div>
        <w:div w:id="1115560599">
          <w:marLeft w:val="0"/>
          <w:marRight w:val="0"/>
          <w:marTop w:val="0"/>
          <w:marBottom w:val="0"/>
          <w:divBdr>
            <w:top w:val="none" w:sz="0" w:space="0" w:color="auto"/>
            <w:left w:val="none" w:sz="0" w:space="0" w:color="auto"/>
            <w:bottom w:val="none" w:sz="0" w:space="0" w:color="auto"/>
            <w:right w:val="none" w:sz="0" w:space="0" w:color="auto"/>
          </w:divBdr>
        </w:div>
        <w:div w:id="810441154">
          <w:marLeft w:val="0"/>
          <w:marRight w:val="0"/>
          <w:marTop w:val="0"/>
          <w:marBottom w:val="0"/>
          <w:divBdr>
            <w:top w:val="none" w:sz="0" w:space="0" w:color="auto"/>
            <w:left w:val="none" w:sz="0" w:space="0" w:color="auto"/>
            <w:bottom w:val="none" w:sz="0" w:space="0" w:color="auto"/>
            <w:right w:val="none" w:sz="0" w:space="0" w:color="auto"/>
          </w:divBdr>
        </w:div>
        <w:div w:id="435105474">
          <w:marLeft w:val="0"/>
          <w:marRight w:val="0"/>
          <w:marTop w:val="0"/>
          <w:marBottom w:val="0"/>
          <w:divBdr>
            <w:top w:val="none" w:sz="0" w:space="0" w:color="auto"/>
            <w:left w:val="none" w:sz="0" w:space="0" w:color="auto"/>
            <w:bottom w:val="none" w:sz="0" w:space="0" w:color="auto"/>
            <w:right w:val="none" w:sz="0" w:space="0" w:color="auto"/>
          </w:divBdr>
        </w:div>
        <w:div w:id="1836802311">
          <w:marLeft w:val="0"/>
          <w:marRight w:val="0"/>
          <w:marTop w:val="0"/>
          <w:marBottom w:val="0"/>
          <w:divBdr>
            <w:top w:val="none" w:sz="0" w:space="0" w:color="auto"/>
            <w:left w:val="none" w:sz="0" w:space="0" w:color="auto"/>
            <w:bottom w:val="none" w:sz="0" w:space="0" w:color="auto"/>
            <w:right w:val="none" w:sz="0" w:space="0" w:color="auto"/>
          </w:divBdr>
        </w:div>
        <w:div w:id="2073195336">
          <w:marLeft w:val="0"/>
          <w:marRight w:val="0"/>
          <w:marTop w:val="0"/>
          <w:marBottom w:val="0"/>
          <w:divBdr>
            <w:top w:val="none" w:sz="0" w:space="0" w:color="auto"/>
            <w:left w:val="none" w:sz="0" w:space="0" w:color="auto"/>
            <w:bottom w:val="none" w:sz="0" w:space="0" w:color="auto"/>
            <w:right w:val="none" w:sz="0" w:space="0" w:color="auto"/>
          </w:divBdr>
        </w:div>
        <w:div w:id="941452167">
          <w:marLeft w:val="0"/>
          <w:marRight w:val="0"/>
          <w:marTop w:val="0"/>
          <w:marBottom w:val="0"/>
          <w:divBdr>
            <w:top w:val="none" w:sz="0" w:space="0" w:color="auto"/>
            <w:left w:val="none" w:sz="0" w:space="0" w:color="auto"/>
            <w:bottom w:val="none" w:sz="0" w:space="0" w:color="auto"/>
            <w:right w:val="none" w:sz="0" w:space="0" w:color="auto"/>
          </w:divBdr>
        </w:div>
        <w:div w:id="1111050332">
          <w:marLeft w:val="0"/>
          <w:marRight w:val="0"/>
          <w:marTop w:val="0"/>
          <w:marBottom w:val="0"/>
          <w:divBdr>
            <w:top w:val="none" w:sz="0" w:space="0" w:color="auto"/>
            <w:left w:val="none" w:sz="0" w:space="0" w:color="auto"/>
            <w:bottom w:val="none" w:sz="0" w:space="0" w:color="auto"/>
            <w:right w:val="none" w:sz="0" w:space="0" w:color="auto"/>
          </w:divBdr>
        </w:div>
        <w:div w:id="107243408">
          <w:marLeft w:val="0"/>
          <w:marRight w:val="0"/>
          <w:marTop w:val="0"/>
          <w:marBottom w:val="0"/>
          <w:divBdr>
            <w:top w:val="none" w:sz="0" w:space="0" w:color="auto"/>
            <w:left w:val="none" w:sz="0" w:space="0" w:color="auto"/>
            <w:bottom w:val="none" w:sz="0" w:space="0" w:color="auto"/>
            <w:right w:val="none" w:sz="0" w:space="0" w:color="auto"/>
          </w:divBdr>
        </w:div>
        <w:div w:id="490297089">
          <w:marLeft w:val="0"/>
          <w:marRight w:val="0"/>
          <w:marTop w:val="0"/>
          <w:marBottom w:val="0"/>
          <w:divBdr>
            <w:top w:val="none" w:sz="0" w:space="0" w:color="auto"/>
            <w:left w:val="none" w:sz="0" w:space="0" w:color="auto"/>
            <w:bottom w:val="none" w:sz="0" w:space="0" w:color="auto"/>
            <w:right w:val="none" w:sz="0" w:space="0" w:color="auto"/>
          </w:divBdr>
        </w:div>
        <w:div w:id="1388577354">
          <w:marLeft w:val="0"/>
          <w:marRight w:val="0"/>
          <w:marTop w:val="0"/>
          <w:marBottom w:val="0"/>
          <w:divBdr>
            <w:top w:val="none" w:sz="0" w:space="0" w:color="auto"/>
            <w:left w:val="none" w:sz="0" w:space="0" w:color="auto"/>
            <w:bottom w:val="none" w:sz="0" w:space="0" w:color="auto"/>
            <w:right w:val="none" w:sz="0" w:space="0" w:color="auto"/>
          </w:divBdr>
        </w:div>
      </w:divsChild>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428311739">
          <w:marLeft w:val="0"/>
          <w:marRight w:val="0"/>
          <w:marTop w:val="0"/>
          <w:marBottom w:val="0"/>
          <w:divBdr>
            <w:top w:val="none" w:sz="0" w:space="0" w:color="auto"/>
            <w:left w:val="none" w:sz="0" w:space="0" w:color="auto"/>
            <w:bottom w:val="none" w:sz="0" w:space="0" w:color="auto"/>
            <w:right w:val="none" w:sz="0" w:space="0" w:color="auto"/>
          </w:divBdr>
          <w:divsChild>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564679835">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 w:id="114255415">
          <w:marLeft w:val="0"/>
          <w:marRight w:val="0"/>
          <w:marTop w:val="0"/>
          <w:marBottom w:val="0"/>
          <w:divBdr>
            <w:top w:val="none" w:sz="0" w:space="0" w:color="auto"/>
            <w:left w:val="none" w:sz="0" w:space="0" w:color="auto"/>
            <w:bottom w:val="none" w:sz="0" w:space="0" w:color="auto"/>
            <w:right w:val="none" w:sz="0" w:space="0" w:color="auto"/>
          </w:divBdr>
          <w:divsChild>
            <w:div w:id="1790666043">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777408798">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1677346798">
              <w:marLeft w:val="0"/>
              <w:marRight w:val="0"/>
              <w:marTop w:val="0"/>
              <w:marBottom w:val="0"/>
              <w:divBdr>
                <w:top w:val="none" w:sz="0" w:space="0" w:color="auto"/>
                <w:left w:val="none" w:sz="0" w:space="0" w:color="auto"/>
                <w:bottom w:val="none" w:sz="0" w:space="0" w:color="auto"/>
                <w:right w:val="none" w:sz="0" w:space="0" w:color="auto"/>
              </w:divBdr>
            </w:div>
            <w:div w:id="601452256">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1431656158">
              <w:marLeft w:val="0"/>
              <w:marRight w:val="0"/>
              <w:marTop w:val="0"/>
              <w:marBottom w:val="0"/>
              <w:divBdr>
                <w:top w:val="none" w:sz="0" w:space="0" w:color="auto"/>
                <w:left w:val="none" w:sz="0" w:space="0" w:color="auto"/>
                <w:bottom w:val="none" w:sz="0" w:space="0" w:color="auto"/>
                <w:right w:val="none" w:sz="0" w:space="0" w:color="auto"/>
              </w:divBdr>
            </w:div>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1189635616">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 w:id="64181048">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1716269172">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686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3087">
      <w:bodyDiv w:val="1"/>
      <w:marLeft w:val="0"/>
      <w:marRight w:val="0"/>
      <w:marTop w:val="0"/>
      <w:marBottom w:val="0"/>
      <w:divBdr>
        <w:top w:val="none" w:sz="0" w:space="0" w:color="auto"/>
        <w:left w:val="none" w:sz="0" w:space="0" w:color="auto"/>
        <w:bottom w:val="none" w:sz="0" w:space="0" w:color="auto"/>
        <w:right w:val="none" w:sz="0" w:space="0" w:color="auto"/>
      </w:divBdr>
      <w:divsChild>
        <w:div w:id="1433431658">
          <w:marLeft w:val="0"/>
          <w:marRight w:val="0"/>
          <w:marTop w:val="0"/>
          <w:marBottom w:val="0"/>
          <w:divBdr>
            <w:top w:val="none" w:sz="0" w:space="0" w:color="auto"/>
            <w:left w:val="none" w:sz="0" w:space="0" w:color="auto"/>
            <w:bottom w:val="none" w:sz="0" w:space="0" w:color="auto"/>
            <w:right w:val="none" w:sz="0" w:space="0" w:color="auto"/>
          </w:divBdr>
        </w:div>
        <w:div w:id="116460513">
          <w:marLeft w:val="0"/>
          <w:marRight w:val="0"/>
          <w:marTop w:val="0"/>
          <w:marBottom w:val="0"/>
          <w:divBdr>
            <w:top w:val="none" w:sz="0" w:space="0" w:color="auto"/>
            <w:left w:val="none" w:sz="0" w:space="0" w:color="auto"/>
            <w:bottom w:val="none" w:sz="0" w:space="0" w:color="auto"/>
            <w:right w:val="none" w:sz="0" w:space="0" w:color="auto"/>
          </w:divBdr>
        </w:div>
        <w:div w:id="1080829424">
          <w:marLeft w:val="0"/>
          <w:marRight w:val="0"/>
          <w:marTop w:val="0"/>
          <w:marBottom w:val="0"/>
          <w:divBdr>
            <w:top w:val="none" w:sz="0" w:space="0" w:color="auto"/>
            <w:left w:val="none" w:sz="0" w:space="0" w:color="auto"/>
            <w:bottom w:val="none" w:sz="0" w:space="0" w:color="auto"/>
            <w:right w:val="none" w:sz="0" w:space="0" w:color="auto"/>
          </w:divBdr>
        </w:div>
        <w:div w:id="227352224">
          <w:marLeft w:val="0"/>
          <w:marRight w:val="0"/>
          <w:marTop w:val="0"/>
          <w:marBottom w:val="0"/>
          <w:divBdr>
            <w:top w:val="none" w:sz="0" w:space="0" w:color="auto"/>
            <w:left w:val="none" w:sz="0" w:space="0" w:color="auto"/>
            <w:bottom w:val="none" w:sz="0" w:space="0" w:color="auto"/>
            <w:right w:val="none" w:sz="0" w:space="0" w:color="auto"/>
          </w:divBdr>
        </w:div>
        <w:div w:id="2066367583">
          <w:marLeft w:val="0"/>
          <w:marRight w:val="0"/>
          <w:marTop w:val="0"/>
          <w:marBottom w:val="0"/>
          <w:divBdr>
            <w:top w:val="none" w:sz="0" w:space="0" w:color="auto"/>
            <w:left w:val="none" w:sz="0" w:space="0" w:color="auto"/>
            <w:bottom w:val="none" w:sz="0" w:space="0" w:color="auto"/>
            <w:right w:val="none" w:sz="0" w:space="0" w:color="auto"/>
          </w:divBdr>
        </w:div>
        <w:div w:id="386034511">
          <w:marLeft w:val="0"/>
          <w:marRight w:val="0"/>
          <w:marTop w:val="0"/>
          <w:marBottom w:val="0"/>
          <w:divBdr>
            <w:top w:val="none" w:sz="0" w:space="0" w:color="auto"/>
            <w:left w:val="none" w:sz="0" w:space="0" w:color="auto"/>
            <w:bottom w:val="none" w:sz="0" w:space="0" w:color="auto"/>
            <w:right w:val="none" w:sz="0" w:space="0" w:color="auto"/>
          </w:divBdr>
        </w:div>
        <w:div w:id="1273049010">
          <w:marLeft w:val="0"/>
          <w:marRight w:val="0"/>
          <w:marTop w:val="0"/>
          <w:marBottom w:val="0"/>
          <w:divBdr>
            <w:top w:val="none" w:sz="0" w:space="0" w:color="auto"/>
            <w:left w:val="none" w:sz="0" w:space="0" w:color="auto"/>
            <w:bottom w:val="none" w:sz="0" w:space="0" w:color="auto"/>
            <w:right w:val="none" w:sz="0" w:space="0" w:color="auto"/>
          </w:divBdr>
        </w:div>
        <w:div w:id="1254119997">
          <w:marLeft w:val="0"/>
          <w:marRight w:val="0"/>
          <w:marTop w:val="0"/>
          <w:marBottom w:val="0"/>
          <w:divBdr>
            <w:top w:val="none" w:sz="0" w:space="0" w:color="auto"/>
            <w:left w:val="none" w:sz="0" w:space="0" w:color="auto"/>
            <w:bottom w:val="none" w:sz="0" w:space="0" w:color="auto"/>
            <w:right w:val="none" w:sz="0" w:space="0" w:color="auto"/>
          </w:divBdr>
        </w:div>
        <w:div w:id="1787502395">
          <w:marLeft w:val="0"/>
          <w:marRight w:val="0"/>
          <w:marTop w:val="0"/>
          <w:marBottom w:val="0"/>
          <w:divBdr>
            <w:top w:val="none" w:sz="0" w:space="0" w:color="auto"/>
            <w:left w:val="none" w:sz="0" w:space="0" w:color="auto"/>
            <w:bottom w:val="none" w:sz="0" w:space="0" w:color="auto"/>
            <w:right w:val="none" w:sz="0" w:space="0" w:color="auto"/>
          </w:divBdr>
        </w:div>
        <w:div w:id="708453708">
          <w:marLeft w:val="0"/>
          <w:marRight w:val="0"/>
          <w:marTop w:val="0"/>
          <w:marBottom w:val="0"/>
          <w:divBdr>
            <w:top w:val="none" w:sz="0" w:space="0" w:color="auto"/>
            <w:left w:val="none" w:sz="0" w:space="0" w:color="auto"/>
            <w:bottom w:val="none" w:sz="0" w:space="0" w:color="auto"/>
            <w:right w:val="none" w:sz="0" w:space="0" w:color="auto"/>
          </w:divBdr>
        </w:div>
        <w:div w:id="1560357853">
          <w:marLeft w:val="0"/>
          <w:marRight w:val="0"/>
          <w:marTop w:val="0"/>
          <w:marBottom w:val="0"/>
          <w:divBdr>
            <w:top w:val="none" w:sz="0" w:space="0" w:color="auto"/>
            <w:left w:val="none" w:sz="0" w:space="0" w:color="auto"/>
            <w:bottom w:val="none" w:sz="0" w:space="0" w:color="auto"/>
            <w:right w:val="none" w:sz="0" w:space="0" w:color="auto"/>
          </w:divBdr>
        </w:div>
        <w:div w:id="1376848887">
          <w:marLeft w:val="0"/>
          <w:marRight w:val="0"/>
          <w:marTop w:val="0"/>
          <w:marBottom w:val="0"/>
          <w:divBdr>
            <w:top w:val="none" w:sz="0" w:space="0" w:color="auto"/>
            <w:left w:val="none" w:sz="0" w:space="0" w:color="auto"/>
            <w:bottom w:val="none" w:sz="0" w:space="0" w:color="auto"/>
            <w:right w:val="none" w:sz="0" w:space="0" w:color="auto"/>
          </w:divBdr>
        </w:div>
        <w:div w:id="343482719">
          <w:marLeft w:val="0"/>
          <w:marRight w:val="0"/>
          <w:marTop w:val="0"/>
          <w:marBottom w:val="0"/>
          <w:divBdr>
            <w:top w:val="none" w:sz="0" w:space="0" w:color="auto"/>
            <w:left w:val="none" w:sz="0" w:space="0" w:color="auto"/>
            <w:bottom w:val="none" w:sz="0" w:space="0" w:color="auto"/>
            <w:right w:val="none" w:sz="0" w:space="0" w:color="auto"/>
          </w:divBdr>
        </w:div>
      </w:divsChild>
    </w:div>
    <w:div w:id="1617172667">
      <w:bodyDiv w:val="1"/>
      <w:marLeft w:val="0"/>
      <w:marRight w:val="0"/>
      <w:marTop w:val="0"/>
      <w:marBottom w:val="0"/>
      <w:divBdr>
        <w:top w:val="none" w:sz="0" w:space="0" w:color="auto"/>
        <w:left w:val="none" w:sz="0" w:space="0" w:color="auto"/>
        <w:bottom w:val="none" w:sz="0" w:space="0" w:color="auto"/>
        <w:right w:val="none" w:sz="0" w:space="0" w:color="auto"/>
      </w:divBdr>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 w:id="2054110570">
      <w:bodyDiv w:val="1"/>
      <w:marLeft w:val="0"/>
      <w:marRight w:val="0"/>
      <w:marTop w:val="0"/>
      <w:marBottom w:val="0"/>
      <w:divBdr>
        <w:top w:val="none" w:sz="0" w:space="0" w:color="auto"/>
        <w:left w:val="none" w:sz="0" w:space="0" w:color="auto"/>
        <w:bottom w:val="none" w:sz="0" w:space="0" w:color="auto"/>
        <w:right w:val="none" w:sz="0" w:space="0" w:color="auto"/>
      </w:divBdr>
    </w:div>
    <w:div w:id="21410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arj.brar@property.nhs.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property.nhs.uk/news-insight/webinars/webinar-recording-direct-payments-webin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yperlink" Target="mailto:k.breen@communityhealthpartnerships.co.uk" TargetMode="Externa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McFatridge\OneDrive%20-%20NHS%20Property%20Services&#160;Ltd\Documents\Custom%20Office%20Templates\Word%20Document%20No%20Cover%20Page.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cc0e84a-c2d5-4f5d-ad11-24b5520bfe6a">
      <Value>1</Value>
    </TaxCatchAll>
    <SharedWithUsers xmlns="561a9b92-0a8c-4be8-a1a8-d7348b6793c7">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e39d66fc43424d50b3333fbb80b032c8 xmlns="561a9b92-0a8c-4be8-a1a8-d7348b6793c7">
      <Terms xmlns="http://schemas.microsoft.com/office/infopath/2007/PartnerControls"/>
    </e39d66fc43424d50b3333fbb80b032c8>
    <h59f9833f0e04c6cbb8daea26bc721d4 xmlns="561a9b92-0a8c-4be8-a1a8-d7348b6793c7">
      <Terms xmlns="http://schemas.microsoft.com/office/infopath/2007/PartnerControls"/>
    </h59f9833f0e04c6cbb8daea26bc721d4>
    <e71eaf9505eb4ce79ae49be9a0e6b769 xmlns="561a9b92-0a8c-4be8-a1a8-d7348b6793c7">
      <Terms xmlns="http://schemas.microsoft.com/office/infopath/2007/PartnerControls"/>
    </e71eaf9505eb4ce79ae49be9a0e6b769>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AD16921D7B8454BA53F80AE989F47C1" ma:contentTypeVersion="27" ma:contentTypeDescription="Create a new document." ma:contentTypeScope="" ma:versionID="b25e86bf9fa94f07c30ea7ed05d38b83">
  <xsd:schema xmlns:xsd="http://www.w3.org/2001/XMLSchema" xmlns:xs="http://www.w3.org/2001/XMLSchema" xmlns:p="http://schemas.microsoft.com/office/2006/metadata/properties" xmlns:ns2="561a9b92-0a8c-4be8-a1a8-d7348b6793c7" xmlns:ns3="2cc0e84a-c2d5-4f5d-ad11-24b5520bfe6a" xmlns:ns4="9241ae63-7b19-44b9-bd01-427d641a3fff" targetNamespace="http://schemas.microsoft.com/office/2006/metadata/properties" ma:root="true" ma:fieldsID="7d39bb677f782527faa7c0dff9928963" ns2:_="" ns3:_="" ns4:_="">
    <xsd:import namespace="561a9b92-0a8c-4be8-a1a8-d7348b6793c7"/>
    <xsd:import namespace="2cc0e84a-c2d5-4f5d-ad11-24b5520bfe6a"/>
    <xsd:import namespace="9241ae63-7b19-44b9-bd01-427d641a3fff"/>
    <xsd:element name="properties">
      <xsd:complexType>
        <xsd:sequence>
          <xsd:element name="documentManagement">
            <xsd:complexType>
              <xsd:all>
                <xsd:element ref="ns2:e71eaf9505eb4ce79ae49be9a0e6b769" minOccurs="0"/>
                <xsd:element ref="ns3:TaxCatchAll" minOccurs="0"/>
                <xsd:element ref="ns2:e39d66fc43424d50b3333fbb80b032c8" minOccurs="0"/>
                <xsd:element ref="ns2:h59f9833f0e04c6cbb8daea26bc721d4" minOccurs="0"/>
                <xsd:element ref="ns4:MediaServiceMetadata" minOccurs="0"/>
                <xsd:element ref="ns4:MediaServiceFastMetadata"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a9b92-0a8c-4be8-a1a8-d7348b6793c7" elementFormDefault="qualified">
    <xsd:import namespace="http://schemas.microsoft.com/office/2006/documentManagement/types"/>
    <xsd:import namespace="http://schemas.microsoft.com/office/infopath/2007/PartnerControls"/>
    <xsd:element name="e71eaf9505eb4ce79ae49be9a0e6b769" ma:index="9" nillable="true" ma:taxonomy="true" ma:internalName="e71eaf9505eb4ce79ae49be9a0e6b769" ma:taxonomyFieldName="Directorate" ma:displayName="Directorate" ma:readOnly="false" ma:default="" ma:fieldId="{e71eaf95-05eb-4ce7-9ae4-9be9a0e6b769}" ma:sspId="090b9b50-93f8-4be0-9c43-bf06df094c04" ma:termSetId="cf76a723-89e3-4095-946c-dc5ca34b29d2" ma:anchorId="00000000-0000-0000-0000-000000000000" ma:open="false" ma:isKeyword="false">
      <xsd:complexType>
        <xsd:sequence>
          <xsd:element ref="pc:Terms" minOccurs="0" maxOccurs="1"/>
        </xsd:sequence>
      </xsd:complexType>
    </xsd:element>
    <xsd:element name="e39d66fc43424d50b3333fbb80b032c8" ma:index="12" nillable="true" ma:taxonomy="true" ma:internalName="e39d66fc43424d50b3333fbb80b032c8" ma:taxonomyFieldName="documenttype" ma:displayName="Document type" ma:readOnly="false" ma:default="" ma:fieldId="{e39d66fc-4342-4d50-b333-3fbb80b032c8}" ma:sspId="090b9b50-93f8-4be0-9c43-bf06df094c04" ma:termSetId="6d0482c8-da69-493b-8d2c-f2c3cd2c5466" ma:anchorId="00000000-0000-0000-0000-000000000000" ma:open="false" ma:isKeyword="false">
      <xsd:complexType>
        <xsd:sequence>
          <xsd:element ref="pc:Terms" minOccurs="0" maxOccurs="1"/>
        </xsd:sequence>
      </xsd:complexType>
    </xsd:element>
    <xsd:element name="h59f9833f0e04c6cbb8daea26bc721d4" ma:index="14" nillable="true" ma:taxonomy="true" ma:internalName="h59f9833f0e04c6cbb8daea26bc721d4" ma:taxonomyFieldName="Campaignname" ma:displayName="Campaign name" ma:default="" ma:fieldId="{159f9833-f0e0-4c6c-bb8d-aea26bc721d4}" ma:taxonomyMulti="true" ma:sspId="090b9b50-93f8-4be0-9c43-bf06df094c04" ma:termSetId="444280c6-7a97-4dd1-9690-b3b5dc4ddf7c"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c0e84a-c2d5-4f5d-ad11-24b5520bfe6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d46d93a-44ce-43de-8f55-d277d73a747f}" ma:internalName="TaxCatchAll" ma:showField="CatchAllData" ma:web="561a9b92-0a8c-4be8-a1a8-d7348b6793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41ae63-7b19-44b9-bd01-427d641a3ff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2.xml><?xml version="1.0" encoding="utf-8"?>
<ds:datastoreItem xmlns:ds="http://schemas.openxmlformats.org/officeDocument/2006/customXml" ds:itemID="{EBC65EC4-E080-4DFC-871C-CAD7E91F3288}">
  <ds:schemaRefs>
    <ds:schemaRef ds:uri="http://schemas.openxmlformats.org/officeDocument/2006/bibliography"/>
  </ds:schemaRefs>
</ds:datastoreItem>
</file>

<file path=customXml/itemProps3.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4.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5.xml><?xml version="1.0" encoding="utf-8"?>
<ds:datastoreItem xmlns:ds="http://schemas.openxmlformats.org/officeDocument/2006/customXml" ds:itemID="{19A3703D-2F36-41F2-8357-369C11EDB2EA}"/>
</file>

<file path=docProps/app.xml><?xml version="1.0" encoding="utf-8"?>
<Properties xmlns="http://schemas.openxmlformats.org/officeDocument/2006/extended-properties" xmlns:vt="http://schemas.openxmlformats.org/officeDocument/2006/docPropsVTypes">
  <Template>Word Document No Cover Page.dotx</Template>
  <TotalTime>4302</TotalTime>
  <Pages>6</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Ellie McFatridge</dc:creator>
  <cp:lastModifiedBy>Ellie McFatridge</cp:lastModifiedBy>
  <cp:revision>5</cp:revision>
  <cp:lastPrinted>2012-10-09T13:00:00Z</cp:lastPrinted>
  <dcterms:created xsi:type="dcterms:W3CDTF">2021-01-15T15:07:00Z</dcterms:created>
  <dcterms:modified xsi:type="dcterms:W3CDTF">2021-01-19T10:21:00Z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0x010100FAD16921D7B8454BA53F80AE989F47C1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217256ac-5856-4aa6-8554-0db7d550da49</vt:lpwstr>
  </property>
</Properties>
</file>